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6.png" ContentType="image/png"/>
  <Override PartName="/word/media/rId170.png" ContentType="image/png"/>
  <Override PartName="/word/media/rId182.png" ContentType="image/png"/>
  <Override PartName="/word/media/rId178.png" ContentType="image/png"/>
  <Override PartName="/word/media/rId174.png" ContentType="image/png"/>
  <Override PartName="/word/media/rId186.png" ContentType="image/png"/>
  <Override PartName="/word/media/rId198.png" ContentType="image/png"/>
  <Override PartName="/word/media/rId194.png" ContentType="image/png"/>
  <Override PartName="/word/media/rId190.png" ContentType="image/png"/>
  <Override PartName="/word/media/rId118.png" ContentType="image/png"/>
  <Override PartName="/word/media/rId122.png" ContentType="image/png"/>
  <Override PartName="/word/media/rId114.png" ContentType="image/png"/>
  <Override PartName="/word/media/rId126.png" ContentType="image/png"/>
  <Override PartName="/word/media/rId138.png" ContentType="image/png"/>
  <Override PartName="/word/media/rId134.png" ContentType="image/png"/>
  <Override PartName="/word/media/rId130.png" ContentType="image/png"/>
  <Override PartName="/word/media/rId90.png" ContentType="image/png"/>
  <Override PartName="/word/media/rId94.png" ContentType="image/png"/>
  <Override PartName="/word/media/rId82.png" ContentType="image/png"/>
  <Override PartName="/word/media/rId86.png" ContentType="image/png"/>
  <Override PartName="/word/media/rId98.png" ContentType="image/png"/>
  <Override PartName="/word/media/rId110.png" ContentType="image/png"/>
  <Override PartName="/word/media/rId106.png" ContentType="image/png"/>
  <Override PartName="/word/media/rId102.png" ContentType="image/png"/>
  <Override PartName="/word/media/rId142.png" ContentType="image/png"/>
  <Override PartName="/word/media/rId146.png" ContentType="image/png"/>
  <Override PartName="/word/media/rId150.png" ContentType="image/png"/>
  <Override PartName="/word/media/rId162.png" ContentType="image/png"/>
  <Override PartName="/word/media/rId158.png" ContentType="image/png"/>
  <Override PartName="/word/media/rId154.png" ContentType="image/png"/>
  <Override PartName="/word/media/rId210.png" ContentType="image/png"/>
  <Override PartName="/word/media/rId206.png" ContentType="image/png"/>
  <Override PartName="/word/media/rId202.png" ContentType="image/png"/>
  <Override PartName="/word/media/rId218.png" ContentType="image/png"/>
  <Override PartName="/word/media/rId214.png" ContentType="image/png"/>
  <Override PartName="/word/media/rId46.png" ContentType="image/png"/>
  <Override PartName="/word/media/rId55.png" ContentType="image/png"/>
  <Override PartName="/word/media/rId61.png" ContentType="image/png"/>
  <Override PartName="/word/media/rId40.png" ContentType="image/png"/>
  <Override PartName="/word/media/rId34.png" ContentType="image/png"/>
  <Override PartName="/word/media/rId20.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Arizona Random Forest Flood Mapping</w:t>
      </w:r>
    </w:p>
    <w:p>
      <w:pPr>
        <w:pStyle w:val="Author"/>
      </w:pPr>
      <w:r>
        <w:t xml:space="preserve">Travis Zalesky</w:t>
      </w:r>
    </w:p>
    <w:p>
      <w:pPr>
        <w:pStyle w:val="Date"/>
      </w:pPr>
      <w:r>
        <w:t xml:space="preserve">2025-04-03</w:t>
      </w:r>
    </w:p>
    <w:p>
      <w:pPr>
        <w:pStyle w:val="AbstractTitle"/>
      </w:pPr>
      <w:r>
        <w:t xml:space="preserve">Abstract</w:t>
      </w:r>
    </w:p>
    <w:p>
      <w:pPr>
        <w:pStyle w:val="Abstract"/>
      </w:pPr>
      <w:r>
        <w:t xml:space="preserve">Federal Emergency Management Administration 100-year flood risk maps are expanded across the state of Arizona using a random forest, machine learning classification utilizing eight topographic explanatory variables.</w:t>
      </w:r>
    </w:p>
    <w:bookmarkStart w:id="26" w:name="background"/>
    <w:p>
      <w:pPr>
        <w:pStyle w:val="Heading2"/>
      </w:pPr>
      <w:r>
        <w:t xml:space="preserve">1 Background</w:t>
      </w:r>
    </w:p>
    <w:p>
      <w:pPr>
        <w:pStyle w:val="FirstParagraph"/>
      </w:pPr>
      <w:r>
        <w:t xml:space="preserve">A critical component of the Arizona Tri-University Recharge (ATUR) project is a state wide assessment of flooding potential. Initial efforts focused on a traditional suitability analysis approach, using the analytical hierarchy process (AHP) for multi-criterion decision making, largely based on the work by</w:t>
      </w:r>
      <w:r>
        <w:t xml:space="preserve"> </w:t>
      </w:r>
      <w:r>
        <w:t xml:space="preserve">Aloui et al. (2024)</w:t>
      </w:r>
      <w:r>
        <w:t xml:space="preserve">. These methods saw initial success, and are continuing to be developed and refined. However, it became apparent that there were a number of shortcomings inherent in this approach which are not easily addressed.</w:t>
      </w:r>
    </w:p>
    <w:p>
      <w:pPr>
        <w:pStyle w:val="BodyText"/>
      </w:pPr>
      <w:r>
        <w:t xml:space="preserve">Firstly, the results of such an analysis are intrinsically linked to the data layers used, and the weighting schema determined by the AHP. As additional data sets became available, and alternate weighting schemas were tested we generated multiple versions of mapped flood potential which did not necessarily agree with each other (</w:t>
      </w:r>
      <w:hyperlink w:anchor="fig-suitComp">
        <w:r>
          <w:rPr>
            <w:rStyle w:val="Hyperlink"/>
          </w:rPr>
          <w:t xml:space="preserve">Figure 1</w:t>
        </w:r>
      </w:hyperlink>
      <w:r>
        <w:t xml:space="preserve">). In the absence of high quality ground-truthed data it was difficult to validate these results and it was not clear to the project team which version was the best. This underscores the need for expert involvement at every stage of AHP based analysis. While there is a wealth of hydrological expertise within the larger ATUR project, development and implementation of this process has largely been conducted by a GIS technician with marginal hydrologic knowledge, and it has been difficult to foster sustained buy-in from team members on this portion of the project.</w:t>
      </w:r>
    </w:p>
    <w:tbl>
      <w:tblPr>
        <w:tblStyle w:val="Table"/>
        <w:tblW w:type="pct" w:w="5000"/>
        <w:tblLayout w:type="fixed"/>
        <w:tblLook w:firstRow="0" w:lastRow="0" w:firstColumn="0" w:lastColumn="0" w:noHBand="0" w:noVBand="0" w:val="0000"/>
      </w:tblPr>
      <w:tblGrid>
        <w:gridCol w:w="7920"/>
      </w:tblGrid>
      <w:tr>
        <w:tc>
          <w:tcPr/>
          <w:bookmarkStart w:id="25" w:name="fig-suitComp"/>
          <w:p>
            <w:pPr>
              <w:pStyle w:val="Compact"/>
              <w:jc w:val="center"/>
            </w:pPr>
            <w:r>
              <w:drawing>
                <wp:inline>
                  <wp:extent cx="5334000" cy="4625319"/>
                  <wp:effectExtent b="0" l="0" r="0" t="0"/>
                  <wp:docPr descr="" title="" id="21" name="Picture"/>
                  <a:graphic>
                    <a:graphicData uri="http://schemas.openxmlformats.org/drawingml/2006/picture">
                      <pic:pic>
                        <pic:nvPicPr>
                          <pic:cNvPr descr="images/SanPedro_V1vsV2.png" id="22" name="Picture"/>
                          <pic:cNvPicPr>
                            <a:picLocks noChangeArrowheads="1" noChangeAspect="1"/>
                          </pic:cNvPicPr>
                        </pic:nvPicPr>
                        <pic:blipFill>
                          <a:blip r:embed="rId20"/>
                          <a:stretch>
                            <a:fillRect/>
                          </a:stretch>
                        </pic:blipFill>
                        <pic:spPr bwMode="auto">
                          <a:xfrm>
                            <a:off x="0" y="0"/>
                            <a:ext cx="5334000" cy="46253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Side-by-side comparison of two versions of a flooding susceptibility analysis for the San Pedro watershed showing subtle differences as the result of updated layers and weighting schemas. Map A uses 9 input layers, while map B uses 8, removing one data layer, and exchanging another. For full details of method differences see</w:t>
            </w:r>
            <w:r>
              <w:t xml:space="preserve"> </w:t>
            </w:r>
            <w:hyperlink r:id="rId23">
              <w:r>
                <w:rPr>
                  <w:rStyle w:val="Hyperlink"/>
                </w:rPr>
                <w:t xml:space="preserve">San Pedro Flood-MAR</w:t>
              </w:r>
            </w:hyperlink>
            <w:r>
              <w:t xml:space="preserve">, as well as</w:t>
            </w:r>
            <w:r>
              <w:t xml:space="preserve"> </w:t>
            </w:r>
            <w:hyperlink r:id="rId24">
              <w:r>
                <w:rPr>
                  <w:rStyle w:val="Hyperlink"/>
                </w:rPr>
                <w:t xml:space="preserve">Flood-MAR V2</w:t>
              </w:r>
            </w:hyperlink>
            <w:r>
              <w:t xml:space="preserve"> </w:t>
            </w:r>
            <w:r>
              <w:t xml:space="preserve">(login required).</w:t>
            </w:r>
          </w:p>
          <w:bookmarkEnd w:id="25"/>
        </w:tc>
      </w:tr>
    </w:tbl>
    <w:p>
      <w:pPr>
        <w:pStyle w:val="BodyText"/>
      </w:pPr>
      <w:r>
        <w:t xml:space="preserve">Furthermore, it was extremely difficult to develop a single generalized model that would be effective across the whole state. Because of the wide array of ecological and geologic conditions that are present across the state, variables that are important for flood risk in one region may not apply in other regions. Lastly, even if these technical issues could be overcome, there was still gaps in the input data layers, resulting in unclassified regions.</w:t>
      </w:r>
    </w:p>
    <w:p>
      <w:pPr>
        <w:pStyle w:val="BodyText"/>
      </w:pPr>
      <w:r>
        <w:t xml:space="preserve">While the traditional suitability analysis methods of assessing flood potential is still valuable to the project, and will be retained and developed further, the reality of these challenges lead us to reevaluate our overall approach and consider alternate methods. Work by</w:t>
      </w:r>
      <w:r>
        <w:t xml:space="preserve"> </w:t>
      </w:r>
      <w:r>
        <w:t xml:space="preserve">Mudashiru et al. (2021)</w:t>
      </w:r>
      <w:r>
        <w:t xml:space="preserve"> </w:t>
      </w:r>
      <w:r>
        <w:t xml:space="preserve">summarized the various methods used by other researchers in this field, which includes AHP based methods as well as physical modeling and machine learning applications. The machine learning methods utilized by</w:t>
      </w:r>
      <w:r>
        <w:t xml:space="preserve"> </w:t>
      </w:r>
      <w:r>
        <w:t xml:space="preserve">Tehrany et al. (2019)</w:t>
      </w:r>
      <w:r>
        <w:t xml:space="preserve"> </w:t>
      </w:r>
      <w:r>
        <w:t xml:space="preserve">appeared to be particularly relevant. Specifically, their use of topographic data</w:t>
      </w:r>
      <w:r>
        <w:t xml:space="preserve"> </w:t>
      </w:r>
      <w:r>
        <w:rPr>
          <w:b/>
          <w:bCs/>
        </w:rPr>
        <w:t xml:space="preserve">only</w:t>
      </w:r>
      <w:r>
        <w:t xml:space="preserve"> </w:t>
      </w:r>
      <w:r>
        <w:t xml:space="preserve">was particularly intriguing. These data sets are fully derived from digital elevation models (DEMs), which are easily accessible, and have full coverage over the study area. These findings lead to a renewed initiative to apply a machine learning based method towards the objective of a state wide flood map.</w:t>
      </w:r>
    </w:p>
    <w:bookmarkEnd w:id="26"/>
    <w:bookmarkStart w:id="68" w:name="sec-data-methods"/>
    <w:p>
      <w:pPr>
        <w:pStyle w:val="Heading2"/>
      </w:pPr>
      <w:r>
        <w:t xml:space="preserve">2 Data &amp; Methods</w:t>
      </w:r>
    </w:p>
    <w:bookmarkStart w:id="32" w:name="topography-data"/>
    <w:p>
      <w:pPr>
        <w:pStyle w:val="Heading3"/>
      </w:pPr>
      <w:r>
        <w:t xml:space="preserve">2.1 Topography Data</w:t>
      </w:r>
    </w:p>
    <w:p>
      <w:pPr>
        <w:pStyle w:val="FirstParagraph"/>
      </w:pPr>
      <w:r>
        <w:t xml:space="preserve">All explanatory variables for the model were derived from the NASA Shuttle Radar Topography Mission (SRTM) 30 m DEM. Slope, aspect, curvature, stream power index (SPI), topographic wetness index (TWI), and sediment transport index (STI) were all calculated in ArcGIS Pro (3.4.3). Slope, aspect and curvature were calculated using the Surface Parameters tool (Spatial Analyst). SPI, TWI, and STI were calculated as per</w:t>
      </w:r>
      <w:r>
        <w:t xml:space="preserve"> </w:t>
      </w:r>
      <w:r>
        <w:t xml:space="preserve">Tehrany et al. (2019)</w:t>
      </w:r>
      <w:r>
        <w:t xml:space="preserve"> </w:t>
      </w:r>
      <w:r>
        <w:t xml:space="preserve">using the Raster Calculator tool according to Equations</w:t>
      </w:r>
      <w:r>
        <w:t xml:space="preserve"> </w:t>
      </w:r>
      <w:hyperlink w:anchor="eq-spi">
        <w:r>
          <w:rPr>
            <w:rStyle w:val="Hyperlink"/>
          </w:rPr>
          <w:t xml:space="preserve">1</w:t>
        </w:r>
      </w:hyperlink>
      <w:r>
        <w:t xml:space="preserve">-</w:t>
      </w:r>
      <w:hyperlink w:anchor="eq-sti">
        <w:r>
          <w:rPr>
            <w:rStyle w:val="Hyperlink"/>
          </w:rPr>
          <w:t xml:space="preserve">3</w:t>
        </w:r>
      </w:hyperlink>
    </w:p>
    <w:p>
      <w:pPr>
        <w:pStyle w:val="BodyText"/>
      </w:pPr>
      <w:bookmarkStart w:id="27" w:name="eq-spi"/>
      <m:oMathPara>
        <m:oMathParaPr>
          <m:jc m:val="center"/>
        </m:oMathParaPr>
        <m:oMath>
          <m:r>
            <m:t>S</m:t>
          </m:r>
          <m:r>
            <m:t>P</m:t>
          </m:r>
          <m:r>
            <m:t>I</m:t>
          </m:r>
          <m:r>
            <m:rPr>
              <m:sty m:val="p"/>
            </m:rPr>
            <m:t>=</m:t>
          </m:r>
          <m:sSub>
            <m:e>
              <m:r>
                <m:t>A</m:t>
              </m:r>
            </m:e>
            <m:sub>
              <m:r>
                <m:t>s</m:t>
              </m:r>
            </m:sub>
          </m:sSub>
          <m:r>
            <m:rPr>
              <m:sty m:val="p"/>
            </m:rPr>
            <m:t>*</m:t>
          </m:r>
          <m:r>
            <m:t>t</m:t>
          </m:r>
          <m:r>
            <m:t>a</m:t>
          </m:r>
          <m:r>
            <m:t>n</m:t>
          </m:r>
          <m:d>
            <m:dPr>
              <m:begChr m:val="("/>
              <m:sepChr m:val=""/>
              <m:endChr m:val=")"/>
              <m:grow/>
            </m:dPr>
            <m:e>
              <m:r>
                <m:t>ß</m:t>
              </m:r>
            </m:e>
          </m:d>
          <m:r>
            <m:t>  </m:t>
          </m:r>
          <m:d>
            <m:dPr>
              <m:begChr m:val="("/>
              <m:sepChr m:val=""/>
              <m:endChr m:val=")"/>
              <m:grow/>
            </m:dPr>
            <m:e>
              <m:r>
                <m:t>1</m:t>
              </m:r>
            </m:e>
          </m:d>
        </m:oMath>
      </m:oMathPara>
      <w:bookmarkEnd w:id="27"/>
    </w:p>
    <w:p>
      <w:pPr>
        <w:pStyle w:val="FirstParagraph"/>
      </w:pPr>
      <w:bookmarkStart w:id="28" w:name="eq-twi"/>
      <m:oMathPara>
        <m:oMathParaPr>
          <m:jc m:val="center"/>
        </m:oMathParaPr>
        <m:oMath>
          <m:r>
            <m:t>T</m:t>
          </m:r>
          <m:r>
            <m:t>W</m:t>
          </m:r>
          <m:r>
            <m:t>I</m:t>
          </m:r>
          <m:r>
            <m:rPr>
              <m:sty m:val="p"/>
            </m:rPr>
            <m:t>=</m:t>
          </m:r>
          <m:r>
            <m:t>l</m:t>
          </m:r>
          <m:r>
            <m:t>n</m:t>
          </m:r>
          <m:d>
            <m:dPr>
              <m:begChr m:val="("/>
              <m:sepChr m:val=""/>
              <m:endChr m:val=")"/>
              <m:grow/>
            </m:dPr>
            <m:e>
              <m:sSub>
                <m:e>
                  <m:r>
                    <m:t>A</m:t>
                  </m:r>
                </m:e>
                <m:sub>
                  <m:r>
                    <m:t>s</m:t>
                  </m:r>
                </m:sub>
              </m:sSub>
              <m:r>
                <m:rPr>
                  <m:sty m:val="p"/>
                </m:rPr>
                <m:t>/</m:t>
              </m:r>
              <m:r>
                <m:t>t</m:t>
              </m:r>
              <m:r>
                <m:t>a</m:t>
              </m:r>
              <m:r>
                <m:t>n</m:t>
              </m:r>
              <m:d>
                <m:dPr>
                  <m:begChr m:val="("/>
                  <m:sepChr m:val=""/>
                  <m:endChr m:val=")"/>
                  <m:grow/>
                </m:dPr>
                <m:e>
                  <m:r>
                    <m:t>ß</m:t>
                  </m:r>
                </m:e>
              </m:d>
            </m:e>
          </m:d>
          <m:r>
            <m:t>  </m:t>
          </m:r>
          <m:d>
            <m:dPr>
              <m:begChr m:val="("/>
              <m:sepChr m:val=""/>
              <m:endChr m:val=")"/>
              <m:grow/>
            </m:dPr>
            <m:e>
              <m:r>
                <m:t>2</m:t>
              </m:r>
            </m:e>
          </m:d>
        </m:oMath>
      </m:oMathPara>
      <w:bookmarkEnd w:id="28"/>
    </w:p>
    <w:p>
      <w:pPr>
        <w:pStyle w:val="FirstParagraph"/>
      </w:pPr>
      <w:bookmarkStart w:id="29" w:name="eq-sti"/>
      <m:oMathPara>
        <m:oMathParaPr>
          <m:jc m:val="center"/>
        </m:oMathParaPr>
        <m:oMath>
          <m:r>
            <m:t>S</m:t>
          </m:r>
          <m:r>
            <m:t>T</m:t>
          </m:r>
          <m:r>
            <m:t>I</m:t>
          </m:r>
          <m:r>
            <m:rPr>
              <m:sty m:val="p"/>
            </m:rPr>
            <m:t>=</m:t>
          </m:r>
          <m:sSup>
            <m:e>
              <m:d>
                <m:dPr>
                  <m:begChr m:val="("/>
                  <m:sepChr m:val=""/>
                  <m:endChr m:val=")"/>
                  <m:grow/>
                </m:dPr>
                <m:e>
                  <m:sSub>
                    <m:e>
                      <m:r>
                        <m:t>A</m:t>
                      </m:r>
                    </m:e>
                    <m:sub>
                      <m:r>
                        <m:t>s</m:t>
                      </m:r>
                    </m:sub>
                  </m:sSub>
                  <m:r>
                    <m:rPr>
                      <m:sty m:val="p"/>
                    </m:rPr>
                    <m:t>/</m:t>
                  </m:r>
                  <m:r>
                    <m:t>22.13</m:t>
                  </m:r>
                </m:e>
              </m:d>
            </m:e>
            <m:sup>
              <m:r>
                <m:t>0.6</m:t>
              </m:r>
            </m:sup>
          </m:sSup>
          <m:r>
            <m:rPr>
              <m:sty m:val="p"/>
            </m:rPr>
            <m:t>*</m:t>
          </m:r>
          <m:sSup>
            <m:e>
              <m:d>
                <m:dPr>
                  <m:begChr m:val="("/>
                  <m:sepChr m:val=""/>
                  <m:endChr m:val=")"/>
                  <m:grow/>
                </m:dPr>
                <m:e>
                  <m:r>
                    <m:t>s</m:t>
                  </m:r>
                  <m:r>
                    <m:t>i</m:t>
                  </m:r>
                  <m:r>
                    <m:t>n</m:t>
                  </m:r>
                  <m:d>
                    <m:dPr>
                      <m:begChr m:val="("/>
                      <m:sepChr m:val=""/>
                      <m:endChr m:val=")"/>
                      <m:grow/>
                    </m:dPr>
                    <m:e>
                      <m:r>
                        <m:t>ß</m:t>
                      </m:r>
                    </m:e>
                  </m:d>
                  <m:r>
                    <m:rPr>
                      <m:sty m:val="p"/>
                    </m:rPr>
                    <m:t>/</m:t>
                  </m:r>
                  <m:r>
                    <m:t>0.0896</m:t>
                  </m:r>
                </m:e>
              </m:d>
            </m:e>
            <m:sup>
              <m:r>
                <m:t>1.3</m:t>
              </m:r>
            </m:sup>
          </m:sSup>
          <m:r>
            <m:t>  </m:t>
          </m:r>
          <m:d>
            <m:dPr>
              <m:begChr m:val="("/>
              <m:sepChr m:val=""/>
              <m:endChr m:val=")"/>
              <m:grow/>
            </m:dPr>
            <m:e>
              <m:r>
                <m:t>3</m:t>
              </m:r>
            </m:e>
          </m:d>
        </m:oMath>
      </m:oMathPara>
      <w:bookmarkEnd w:id="29"/>
    </w:p>
    <w:p>
      <w:pPr>
        <w:pStyle w:val="FirstParagraph"/>
      </w:pPr>
      <w:r>
        <w:t xml:space="preserve">where A</w:t>
      </w:r>
      <w:r>
        <w:rPr>
          <w:vertAlign w:val="subscript"/>
        </w:rPr>
        <w:t xml:space="preserve">s</w:t>
      </w:r>
      <w:r>
        <w:t xml:space="preserve"> </w:t>
      </w:r>
      <w:r>
        <w:t xml:space="preserve">is the catchment area (m) and ß is the slope (radians).</w:t>
      </w:r>
    </w:p>
    <w:p>
      <w:pPr>
        <w:pStyle w:val="BodyText"/>
      </w:pPr>
      <w:r>
        <w:t xml:space="preserve">Similarly, Topographic Roughness Index (TRI) was calculated as per</w:t>
      </w:r>
      <w:r>
        <w:t xml:space="preserve"> </w:t>
      </w:r>
      <w:r>
        <w:t xml:space="preserve">Tehrany et al. (2019)</w:t>
      </w:r>
      <w:r>
        <w:t xml:space="preserve"> </w:t>
      </w:r>
      <w:r>
        <w:t xml:space="preserve">using a custom R (4.4.1) function with the package terra (1.7-78) according to</w:t>
      </w:r>
      <w:r>
        <w:t xml:space="preserve"> </w:t>
      </w:r>
      <w:hyperlink w:anchor="eq-tri">
        <w:r>
          <w:rPr>
            <w:rStyle w:val="Hyperlink"/>
          </w:rPr>
          <w:t xml:space="preserve">Equation 4</w:t>
        </w:r>
      </w:hyperlink>
    </w:p>
    <w:p>
      <w:pPr>
        <w:pStyle w:val="BodyText"/>
      </w:pPr>
      <w:bookmarkStart w:id="30" w:name="eq-tri"/>
      <m:oMathPara>
        <m:oMathParaPr>
          <m:jc m:val="center"/>
        </m:oMathParaPr>
        <m:oMath>
          <m:r>
            <m:t>T</m:t>
          </m:r>
          <m:r>
            <m:t>R</m:t>
          </m:r>
          <m:r>
            <m:t>I</m:t>
          </m:r>
          <m:r>
            <m:rPr>
              <m:sty m:val="p"/>
            </m:rPr>
            <m:t>=</m:t>
          </m:r>
          <m:sSup>
            <m:e>
              <m:d>
                <m:dPr>
                  <m:begChr m:val="["/>
                  <m:sepChr m:val=""/>
                  <m:endChr m:val="]"/>
                  <m:grow/>
                </m:dPr>
                <m:e>
                  <m:r>
                    <m:rPr>
                      <m:sty m:val="p"/>
                    </m:rPr>
                    <m:t>∑</m:t>
                  </m:r>
                  <m:sSup>
                    <m:e>
                      <m:d>
                        <m:dPr>
                          <m:begChr m:val="("/>
                          <m:sepChr m:val=""/>
                          <m:endChr m:val=")"/>
                          <m:grow/>
                        </m:dPr>
                        <m:e>
                          <m:sSub>
                            <m:e>
                              <m:r>
                                <m:t>χ</m:t>
                              </m:r>
                            </m:e>
                            <m:sub>
                              <m:r>
                                <m:t>i</m:t>
                              </m:r>
                              <m:r>
                                <m:t>j</m:t>
                              </m:r>
                            </m:sub>
                          </m:sSub>
                          <m:r>
                            <m:rPr>
                              <m:sty m:val="p"/>
                            </m:rPr>
                            <m:t>−</m:t>
                          </m:r>
                          <m:sSub>
                            <m:e>
                              <m:r>
                                <m:t>χ</m:t>
                              </m:r>
                            </m:e>
                            <m:sub>
                              <m:r>
                                <m:t>00</m:t>
                              </m:r>
                            </m:sub>
                          </m:sSub>
                        </m:e>
                      </m:d>
                    </m:e>
                    <m:sup>
                      <m:r>
                        <m:t>2</m:t>
                      </m:r>
                    </m:sup>
                  </m:sSup>
                </m:e>
              </m:d>
            </m:e>
            <m:sup>
              <m:r>
                <m:t>0.5</m:t>
              </m:r>
            </m:sup>
          </m:sSup>
          <m:r>
            <m:t>  </m:t>
          </m:r>
          <m:d>
            <m:dPr>
              <m:begChr m:val="("/>
              <m:sepChr m:val=""/>
              <m:endChr m:val=")"/>
              <m:grow/>
            </m:dPr>
            <m:e>
              <m:r>
                <m:t>4</m:t>
              </m:r>
            </m:e>
          </m:d>
        </m:oMath>
      </m:oMathPara>
      <w:bookmarkEnd w:id="30"/>
    </w:p>
    <w:p>
      <w:pPr>
        <w:pStyle w:val="FirstParagraph"/>
      </w:pPr>
      <w:r>
        <w:t xml:space="preserve">where χ</w:t>
      </w:r>
      <w:r>
        <w:rPr>
          <w:vertAlign w:val="subscript"/>
        </w:rPr>
        <w:t xml:space="preserve">ij</w:t>
      </w:r>
      <w:r>
        <w:t xml:space="preserve"> </w:t>
      </w:r>
      <w:r>
        <w:t xml:space="preserve">is the elevation at coordinates (i, j) and χ</w:t>
      </w:r>
      <w:r>
        <w:rPr>
          <w:vertAlign w:val="subscript"/>
        </w:rPr>
        <w:t xml:space="preserve">00</w:t>
      </w:r>
      <w:r>
        <w:t xml:space="preserve"> </w:t>
      </w:r>
      <w:r>
        <w:t xml:space="preserve">is the elevation at coordinates (0, 0) for a 3x3 focal neighborhood. The code used to calculate TRI is available on</w:t>
      </w:r>
      <w:r>
        <w:t xml:space="preserve"> </w:t>
      </w:r>
      <w:hyperlink r:id="rId31">
        <w:r>
          <w:rPr>
            <w:rStyle w:val="Hyperlink"/>
          </w:rPr>
          <w:t xml:space="preserve">GitHub</w:t>
        </w:r>
      </w:hyperlink>
      <w:r>
        <w:t xml:space="preserve">.</w:t>
      </w:r>
    </w:p>
    <w:bookmarkEnd w:id="32"/>
    <w:bookmarkStart w:id="38" w:name="flooding-data"/>
    <w:p>
      <w:pPr>
        <w:pStyle w:val="Heading3"/>
      </w:pPr>
      <w:r>
        <w:t xml:space="preserve">2.2 Flooding Data</w:t>
      </w:r>
    </w:p>
    <w:p>
      <w:pPr>
        <w:pStyle w:val="FirstParagraph"/>
      </w:pPr>
      <w:r>
        <w:t xml:space="preserve">Flood data used for training the model was obtained from the Federal Emergency Management Administration (FEMA) National Flood Hazards Layer, which provides 100-year flood maps for many areas of the US. The data was manually downloaded for each county in AZ from the FEMA</w:t>
      </w:r>
      <w:r>
        <w:t xml:space="preserve"> </w:t>
      </w:r>
      <w:hyperlink r:id="rId33">
        <w:r>
          <w:rPr>
            <w:rStyle w:val="Hyperlink"/>
          </w:rPr>
          <w:t xml:space="preserve">data viewer</w:t>
        </w:r>
      </w:hyperlink>
      <w:r>
        <w:t xml:space="preserve"> </w:t>
      </w:r>
      <w:r>
        <w:t xml:space="preserve">(accessed 3/15/2025). Data layers were merged in ArcGIS Pro (3.4.3), and the vector data was converted to a raster with a 10 m resolution. Additionally, the FEMA data was reclassified to a binary output, either flooded or not flooded (during a 100-year flood event), eliminating superfluous details such as survey methods and flow depth (</w:t>
      </w:r>
      <w:hyperlink w:anchor="fig-fema">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7" w:name="fig-fema"/>
          <w:p>
            <w:pPr>
              <w:pStyle w:val="Compact"/>
              <w:jc w:val="center"/>
            </w:pPr>
            <w:r>
              <w:drawing>
                <wp:inline>
                  <wp:extent cx="5334000" cy="6397020"/>
                  <wp:effectExtent b="0" l="0" r="0" t="0"/>
                  <wp:docPr descr="" title="" id="35" name="Picture"/>
                  <a:graphic>
                    <a:graphicData uri="http://schemas.openxmlformats.org/drawingml/2006/picture">
                      <pic:pic>
                        <pic:nvPicPr>
                          <pic:cNvPr descr="images/FEMA2.png" id="36" name="Picture"/>
                          <pic:cNvPicPr>
                            <a:picLocks noChangeArrowheads="1" noChangeAspect="1"/>
                          </pic:cNvPicPr>
                        </pic:nvPicPr>
                        <pic:blipFill>
                          <a:blip r:embed="rId34"/>
                          <a:stretch>
                            <a:fillRect/>
                          </a:stretch>
                        </pic:blipFill>
                        <pic:spPr bwMode="auto">
                          <a:xfrm>
                            <a:off x="0" y="0"/>
                            <a:ext cx="5334000" cy="63970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Simplified FEMA 100-year flood map for all counties in Arizona.</w:t>
            </w:r>
          </w:p>
          <w:bookmarkEnd w:id="37"/>
        </w:tc>
      </w:tr>
    </w:tbl>
    <w:bookmarkEnd w:id="38"/>
    <w:bookmarkStart w:id="39" w:name="google-earth-engine-preparation"/>
    <w:p>
      <w:pPr>
        <w:pStyle w:val="Heading3"/>
      </w:pPr>
      <w:r>
        <w:t xml:space="preserve">2.3 Google Earth Engine Preparation</w:t>
      </w:r>
    </w:p>
    <w:p>
      <w:pPr>
        <w:pStyle w:val="FirstParagraph"/>
      </w:pPr>
      <w:r>
        <w:t xml:space="preserve">The machine learning model was performed in Google Earth Engine (GEE). The SRTM elevation data was access and clipped to the study area natively through GEE servers, all other data layers, including the study area shapefile, were uploaded as an asset to GEE prior to model implementation.</w:t>
      </w:r>
    </w:p>
    <w:bookmarkEnd w:id="39"/>
    <w:bookmarkStart w:id="44" w:name="variable-collinearity"/>
    <w:p>
      <w:pPr>
        <w:pStyle w:val="Heading3"/>
      </w:pPr>
      <w:r>
        <w:t xml:space="preserve">2.4 Variable Collinearity</w:t>
      </w:r>
    </w:p>
    <w:p>
      <w:pPr>
        <w:pStyle w:val="FirstParagraph"/>
      </w:pPr>
      <w:r>
        <w:t xml:space="preserve">Prior to modeling, the collinearity of the explanatory variables was explored using a series of pair-wise linear regressions (Figures</w:t>
      </w:r>
      <w:r>
        <w:t xml:space="preserve"> </w:t>
      </w:r>
      <w:hyperlink w:anchor="appfig-floodElev">
        <w:r>
          <w:rPr>
            <w:rStyle w:val="Hyperlink"/>
          </w:rPr>
          <w:t xml:space="preserve">A1</w:t>
        </w:r>
      </w:hyperlink>
      <w:r>
        <w:t xml:space="preserve">-</w:t>
      </w:r>
      <w:hyperlink w:anchor="appfig-triSti">
        <w:r>
          <w:rPr>
            <w:rStyle w:val="Hyperlink"/>
          </w:rPr>
          <w:t xml:space="preserve">A36</w:t>
        </w:r>
      </w:hyperlink>
      <w:r>
        <w:t xml:space="preserve">). 5,000 points (the maximum number of points which can be plotted in GEE) were randomly sampled across the study area for collinearity analysis. The collinearity of each pair-wise regression is summarized visually in</w:t>
      </w:r>
      <w:r>
        <w:t xml:space="preserve"> </w:t>
      </w:r>
      <w:hyperlink w:anchor="fig-Rsquared">
        <w:r>
          <w:rPr>
            <w:rStyle w:val="Hyperlink"/>
          </w:rPr>
          <w:t xml:space="preserve">Figure 3</w:t>
        </w:r>
      </w:hyperlink>
      <w:r>
        <w:t xml:space="preserve"> </w:t>
      </w:r>
      <w:r>
        <w:t xml:space="preserve">using the R-squared statistic of each comparison. While some relationships, e.g. slope and TWI (Figure</w:t>
      </w:r>
      <w:r>
        <w:t xml:space="preserve"> </w:t>
      </w:r>
      <w:hyperlink w:anchor="appfig-slopeTwi">
        <w:r>
          <w:rPr>
            <w:rStyle w:val="Hyperlink"/>
          </w:rPr>
          <w:t xml:space="preserve">A19</w:t>
        </w:r>
      </w:hyperlink>
      <w:r>
        <w:t xml:space="preserve">), share a complex relationship that is not captured by a linear regression, the R-squared statistic is a simple indicator of collinearity which is readily understood. Although a formal variance inflation factor (VIF) analysis was not performed, efforts were made to limit model complexity by manually testing variable combinations, especially those that showed high degrees of collinearity, and at equivalent model accuracy, simpler models were preferred.</w:t>
      </w:r>
    </w:p>
    <w:tbl>
      <w:tblPr>
        <w:tblStyle w:val="Table"/>
        <w:tblW w:type="pct" w:w="5000"/>
        <w:tblLayout w:type="fixed"/>
        <w:tblLook w:firstRow="0" w:lastRow="0" w:firstColumn="0" w:lastColumn="0" w:noHBand="0" w:noVBand="0" w:val="0000"/>
      </w:tblPr>
      <w:tblGrid>
        <w:gridCol w:w="7920"/>
      </w:tblGrid>
      <w:tr>
        <w:tc>
          <w:tcPr/>
          <w:bookmarkStart w:id="43" w:name="fig-Rsquared"/>
          <w:p>
            <w:pPr>
              <w:pStyle w:val="Compact"/>
              <w:jc w:val="center"/>
            </w:pPr>
            <w:r>
              <w:drawing>
                <wp:inline>
                  <wp:extent cx="5334000" cy="1527667"/>
                  <wp:effectExtent b="0" l="0" r="0" t="0"/>
                  <wp:docPr descr="" title="" id="41" name="Picture"/>
                  <a:graphic>
                    <a:graphicData uri="http://schemas.openxmlformats.org/drawingml/2006/picture">
                      <pic:pic>
                        <pic:nvPicPr>
                          <pic:cNvPr descr="images/CorrelationMatrix.PNG" id="42" name="Picture"/>
                          <pic:cNvPicPr>
                            <a:picLocks noChangeArrowheads="1" noChangeAspect="1"/>
                          </pic:cNvPicPr>
                        </pic:nvPicPr>
                        <pic:blipFill>
                          <a:blip r:embed="rId40"/>
                          <a:stretch>
                            <a:fillRect/>
                          </a:stretch>
                        </pic:blipFill>
                        <pic:spPr bwMode="auto">
                          <a:xfrm>
                            <a:off x="0" y="0"/>
                            <a:ext cx="5334000" cy="15276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Color coded R-squared statistic for each pair-wise linear regression (green = high, red = low), representing the collinearity of each variable used for modeling.</w:t>
            </w:r>
          </w:p>
          <w:bookmarkEnd w:id="43"/>
        </w:tc>
      </w:tr>
    </w:tbl>
    <w:bookmarkEnd w:id="44"/>
    <w:bookmarkStart w:id="60" w:name="initial-model-testing-and-development"/>
    <w:p>
      <w:pPr>
        <w:pStyle w:val="Heading3"/>
      </w:pPr>
      <w:r>
        <w:t xml:space="preserve">2.5 Initial Model Testing and Development</w:t>
      </w:r>
    </w:p>
    <w:p>
      <w:pPr>
        <w:pStyle w:val="FirstParagraph"/>
      </w:pPr>
      <w:r>
        <w:t xml:space="preserve">Many models were iteratively explored using several machine learning algorithms, various combinations of explanatory variables, and many hyperparameterization values. For all initial model trials the study area was reduced to the San Pedro watershed, a well characterized watershed with approx. 66% FEMA flood map coverage (visual estimate). A 70:30::training:testing data structure was adopted, and while a range of sampled points were tested, this ratio was maintained throughout. Model performance was primarily assessed through an overall accuracy score, with confusion matrix analysis performed for highly accurate models.</w:t>
      </w:r>
    </w:p>
    <w:p>
      <w:pPr>
        <w:pStyle w:val="BodyText"/>
      </w:pPr>
      <w:r>
        <w:t xml:space="preserve">Tested models included Classification and Regression Tree (CART, a.k.a Decision Tree), Random Forest (RF), and Support Vector Machine (SVM). Generally, CART classification produced very noisy results which tended to overestimate flood waters, and averaged around 79.5% accuracy (data not shown). SVM classification was too computationally demanding, even within the smaller study area of the San Pedro, and given the generous cloud computing resources of GEE. As a consequence SVM classification can not be evaluated, other than to say that it is inefficient and implementation is impractical. RF classification proved to be the most promising method of classification, and the most effort was spent on developing that model.</w:t>
      </w:r>
    </w:p>
    <w:bookmarkStart w:id="54" w:name="random-forest-model-development"/>
    <w:p>
      <w:pPr>
        <w:pStyle w:val="Heading4"/>
      </w:pPr>
      <w:r>
        <w:t xml:space="preserve">2.5.1 Random Forest Model Development</w:t>
      </w:r>
    </w:p>
    <w:p>
      <w:pPr>
        <w:pStyle w:val="FirstParagraph"/>
      </w:pPr>
      <w:r>
        <w:t xml:space="preserve">Over 400 RF models were tested for the San Pedro watershed. Model optimization parameters tested included the number of trees, the number of sampling points (from 20,000 up to 60,000), and combinations of explanatory variables. Many RF models were tested simultaneously with between 5 to 100 trees using a custom GEE function modified from</w:t>
      </w:r>
      <w:r>
        <w:t xml:space="preserve"> </w:t>
      </w:r>
      <w:r>
        <w:t xml:space="preserve">Nicolau et al. (2023)</w:t>
      </w:r>
      <w:r>
        <w:t xml:space="preserve">. The referenced accuracy scores for preliminary models refers to the most accurate model, using the fewest number of trees. Tested RF models ranged from 73.9% to 87.4% (</w:t>
      </w:r>
      <w:hyperlink w:anchor="tbl-rfAcc">
        <w:r>
          <w:rPr>
            <w:rStyle w:val="Hyperlink"/>
          </w:rPr>
          <w:t xml:space="preserve">Table 1</w:t>
        </w:r>
      </w:hyperlink>
      <w:r>
        <w:t xml:space="preserve">). The most accurate model tested used 35,000 sampling points, consisting of 30,000 dry land points (not flooded) and 5,000 flooded points and with all explanatory variables except for TRI, achieving a peak overall accuracy of 87.4% at 70 trees.</w:t>
      </w:r>
    </w:p>
    <w:tbl>
      <w:tblPr>
        <w:tblStyle w:val="Table"/>
        <w:tblW w:type="pct" w:w="5000"/>
        <w:tblLayout w:type="fixed"/>
        <w:tblLook w:firstRow="0" w:lastRow="0" w:firstColumn="0" w:lastColumn="0" w:noHBand="0" w:noVBand="0" w:val="0000"/>
      </w:tblPr>
      <w:tblGrid>
        <w:gridCol w:w="7920"/>
      </w:tblGrid>
      <w:tr>
        <w:tc>
          <w:tcPr/>
          <w:bookmarkStart w:id="45" w:name="tbl-rfAcc"/>
          <w:p>
            <w:pPr>
              <w:jc w:val="center"/>
            </w:pPr>
            <w:pPr>
              <w:jc w:val="start"/>
              <w:spacing w:before="200"/>
              <w:pStyle w:val="ImageCaption"/>
            </w:pPr>
            <w:r>
              <w:t xml:space="preserve">Table 1: Random Forest algorithm optimization and accuracy. All recorded sampling points were grouped together before being partitioned into a 70:30::training:testing structure.</w:t>
            </w:r>
          </w:p>
          <w:tbl>
            <w:tblPr>
              <w:tblStyle w:val="Table"/>
              <w:tblW w:type="pct" w:w="5000"/>
              <w:tblLayout w:type="fixed"/>
              <w:tblLook w:firstRow="1" w:lastRow="0" w:firstColumn="0" w:lastColumn="0" w:noHBand="0" w:noVBand="0" w:val="0020"/>
            </w:tblPr>
            <w:tblGrid>
              <w:gridCol w:w="2394"/>
              <w:gridCol w:w="2394"/>
              <w:gridCol w:w="920"/>
              <w:gridCol w:w="2210"/>
            </w:tblGrid>
            <w:tr>
              <w:trPr>
                <w:tblHeader w:val="on"/>
              </w:trPr>
              <w:tc>
                <w:tcPr/>
                <w:p>
                  <w:pPr>
                    <w:pStyle w:val="Compact"/>
                    <w:jc w:val="center"/>
                  </w:pPr>
                  <w:r>
                    <w:t xml:space="preserve">Variables</w:t>
                  </w:r>
                </w:p>
              </w:tc>
              <w:tc>
                <w:tcPr/>
                <w:p>
                  <w:pPr>
                    <w:pStyle w:val="Compact"/>
                    <w:jc w:val="center"/>
                  </w:pPr>
                  <w:r>
                    <w:t xml:space="preserve">Sampling Points (dry land, flooded)</w:t>
                  </w:r>
                </w:p>
              </w:tc>
              <w:tc>
                <w:tcPr/>
                <w:p>
                  <w:pPr>
                    <w:pStyle w:val="Compact"/>
                    <w:jc w:val="center"/>
                  </w:pPr>
                  <w:r>
                    <w:t xml:space="preserve">Trees</w:t>
                  </w:r>
                </w:p>
              </w:tc>
              <w:tc>
                <w:tcPr/>
                <w:p>
                  <w:pPr>
                    <w:pStyle w:val="Compact"/>
                    <w:jc w:val="center"/>
                  </w:pPr>
                  <w:r>
                    <w:t xml:space="preserve">Accuracy (%)</w:t>
                  </w:r>
                </w:p>
              </w:tc>
            </w:tr>
            <w:tr>
              <w:tc>
                <w:tcPr/>
                <w:p>
                  <w:pPr>
                    <w:pStyle w:val="Compact"/>
                    <w:jc w:val="center"/>
                  </w:pPr>
                  <w:r>
                    <w:t xml:space="preserve">All</w:t>
                  </w:r>
                </w:p>
              </w:tc>
              <w:tc>
                <w:tcPr/>
                <w:p>
                  <w:pPr>
                    <w:pStyle w:val="Compact"/>
                    <w:jc w:val="center"/>
                  </w:pPr>
                  <w:r>
                    <w:t xml:space="preserve">15000, 5000</w:t>
                  </w:r>
                </w:p>
              </w:tc>
              <w:tc>
                <w:tcPr/>
                <w:p>
                  <w:pPr>
                    <w:pStyle w:val="Compact"/>
                    <w:jc w:val="center"/>
                  </w:pPr>
                  <w:r>
                    <w:t xml:space="preserve">50</w:t>
                  </w:r>
                </w:p>
              </w:tc>
              <w:tc>
                <w:tcPr/>
                <w:p>
                  <w:pPr>
                    <w:pStyle w:val="Compact"/>
                    <w:jc w:val="center"/>
                  </w:pPr>
                  <w:r>
                    <w:t xml:space="preserve">79.2</w:t>
                  </w:r>
                </w:p>
              </w:tc>
            </w:tr>
            <w:tr>
              <w:tc>
                <w:tcPr/>
                <w:p>
                  <w:pPr>
                    <w:pStyle w:val="Compact"/>
                    <w:jc w:val="center"/>
                  </w:pPr>
                  <w:r>
                    <w:t xml:space="preserve">All</w:t>
                  </w:r>
                </w:p>
              </w:tc>
              <w:tc>
                <w:tcPr/>
                <w:p>
                  <w:pPr>
                    <w:pStyle w:val="Compact"/>
                    <w:jc w:val="center"/>
                  </w:pPr>
                  <w:r>
                    <w:t xml:space="preserve">20000, 5000</w:t>
                  </w:r>
                </w:p>
              </w:tc>
              <w:tc>
                <w:tcPr/>
                <w:p>
                  <w:pPr>
                    <w:pStyle w:val="Compact"/>
                    <w:jc w:val="center"/>
                  </w:pPr>
                  <w:r>
                    <w:t xml:space="preserve">85</w:t>
                  </w:r>
                </w:p>
              </w:tc>
              <w:tc>
                <w:tcPr/>
                <w:p>
                  <w:pPr>
                    <w:pStyle w:val="Compact"/>
                    <w:jc w:val="center"/>
                  </w:pPr>
                  <w:r>
                    <w:t xml:space="preserve">82</w:t>
                  </w:r>
                </w:p>
              </w:tc>
            </w:tr>
            <w:tr>
              <w:tc>
                <w:tcPr/>
                <w:p>
                  <w:pPr>
                    <w:pStyle w:val="Compact"/>
                    <w:jc w:val="center"/>
                  </w:pPr>
                  <w:r>
                    <w:t xml:space="preserve">All</w:t>
                  </w:r>
                </w:p>
              </w:tc>
              <w:tc>
                <w:tcPr/>
                <w:p>
                  <w:pPr>
                    <w:pStyle w:val="Compact"/>
                    <w:jc w:val="center"/>
                  </w:pPr>
                  <w:r>
                    <w:t xml:space="preserve">20000, 10000</w:t>
                  </w:r>
                </w:p>
              </w:tc>
              <w:tc>
                <w:tcPr/>
                <w:p>
                  <w:pPr>
                    <w:pStyle w:val="Compact"/>
                    <w:jc w:val="center"/>
                  </w:pPr>
                  <w:r>
                    <w:t xml:space="preserve">85</w:t>
                  </w:r>
                </w:p>
              </w:tc>
              <w:tc>
                <w:tcPr/>
                <w:p>
                  <w:pPr>
                    <w:pStyle w:val="Compact"/>
                    <w:jc w:val="center"/>
                  </w:pPr>
                  <w:r>
                    <w:t xml:space="preserve">73.9</w:t>
                  </w:r>
                </w:p>
              </w:tc>
            </w:tr>
            <w:tr>
              <w:tc>
                <w:tcPr/>
                <w:p>
                  <w:pPr>
                    <w:pStyle w:val="Compact"/>
                    <w:jc w:val="center"/>
                  </w:pPr>
                  <w:r>
                    <w:t xml:space="preserve">All</w:t>
                  </w:r>
                </w:p>
              </w:tc>
              <w:tc>
                <w:tcPr/>
                <w:p>
                  <w:pPr>
                    <w:pStyle w:val="Compact"/>
                    <w:jc w:val="center"/>
                  </w:pPr>
                  <w:r>
                    <w:t xml:space="preserve">25000, 5000</w:t>
                  </w:r>
                </w:p>
              </w:tc>
              <w:tc>
                <w:tcPr/>
                <w:p>
                  <w:pPr>
                    <w:pStyle w:val="Compact"/>
                    <w:jc w:val="center"/>
                  </w:pPr>
                  <w:r>
                    <w:t xml:space="preserve">50</w:t>
                  </w:r>
                </w:p>
              </w:tc>
              <w:tc>
                <w:tcPr/>
                <w:p>
                  <w:pPr>
                    <w:pStyle w:val="Compact"/>
                    <w:jc w:val="center"/>
                  </w:pPr>
                  <w:r>
                    <w:t xml:space="preserve">84.8</w:t>
                  </w:r>
                </w:p>
              </w:tc>
            </w:tr>
            <w:tr>
              <w:tc>
                <w:tcPr/>
                <w:p>
                  <w:pPr>
                    <w:pStyle w:val="Compact"/>
                    <w:jc w:val="center"/>
                  </w:pPr>
                  <w:r>
                    <w:t xml:space="preserve">All</w:t>
                  </w:r>
                </w:p>
              </w:tc>
              <w:tc>
                <w:tcPr/>
                <w:p>
                  <w:pPr>
                    <w:pStyle w:val="Compact"/>
                    <w:jc w:val="center"/>
                  </w:pPr>
                  <w:r>
                    <w:t xml:space="preserve">30000, 5000</w:t>
                  </w:r>
                </w:p>
              </w:tc>
              <w:tc>
                <w:tcPr/>
                <w:p>
                  <w:pPr>
                    <w:pStyle w:val="Compact"/>
                    <w:jc w:val="center"/>
                  </w:pPr>
                  <w:r>
                    <w:t xml:space="preserve">45</w:t>
                  </w:r>
                </w:p>
              </w:tc>
              <w:tc>
                <w:tcPr/>
                <w:p>
                  <w:pPr>
                    <w:pStyle w:val="Compact"/>
                    <w:jc w:val="center"/>
                  </w:pPr>
                  <w:r>
                    <w:t xml:space="preserve">87</w:t>
                  </w:r>
                </w:p>
              </w:tc>
            </w:tr>
            <w:tr>
              <w:tc>
                <w:tcPr/>
                <w:p>
                  <w:pPr>
                    <w:pStyle w:val="Compact"/>
                    <w:jc w:val="center"/>
                  </w:pPr>
                  <w:r>
                    <w:t xml:space="preserve">All</w:t>
                  </w:r>
                </w:p>
              </w:tc>
              <w:tc>
                <w:tcPr/>
                <w:p>
                  <w:pPr>
                    <w:pStyle w:val="Compact"/>
                    <w:jc w:val="center"/>
                  </w:pPr>
                  <w:r>
                    <w:t xml:space="preserve">30000, 10000</w:t>
                  </w:r>
                </w:p>
              </w:tc>
              <w:tc>
                <w:tcPr/>
                <w:p>
                  <w:pPr>
                    <w:pStyle w:val="Compact"/>
                    <w:jc w:val="center"/>
                  </w:pPr>
                  <w:r>
                    <w:t xml:space="preserve">80</w:t>
                  </w:r>
                </w:p>
              </w:tc>
              <w:tc>
                <w:tcPr/>
                <w:p>
                  <w:pPr>
                    <w:pStyle w:val="Compact"/>
                    <w:jc w:val="center"/>
                  </w:pPr>
                  <w:r>
                    <w:t xml:space="preserve">78.9</w:t>
                  </w:r>
                </w:p>
              </w:tc>
            </w:tr>
            <w:tr>
              <w:tc>
                <w:tcPr/>
                <w:p>
                  <w:pPr>
                    <w:pStyle w:val="Compact"/>
                    <w:jc w:val="center"/>
                  </w:pPr>
                  <w:r>
                    <w:t xml:space="preserve">All</w:t>
                  </w:r>
                </w:p>
              </w:tc>
              <w:tc>
                <w:tcPr/>
                <w:p>
                  <w:pPr>
                    <w:pStyle w:val="Compact"/>
                    <w:jc w:val="center"/>
                  </w:pPr>
                  <w:r>
                    <w:t xml:space="preserve">40000, 10000</w:t>
                  </w:r>
                </w:p>
              </w:tc>
              <w:tc>
                <w:tcPr/>
                <w:p>
                  <w:pPr>
                    <w:pStyle w:val="Compact"/>
                    <w:jc w:val="center"/>
                  </w:pPr>
                  <w:r>
                    <w:t xml:space="preserve">50</w:t>
                  </w:r>
                </w:p>
              </w:tc>
              <w:tc>
                <w:tcPr/>
                <w:p>
                  <w:pPr>
                    <w:pStyle w:val="Compact"/>
                    <w:jc w:val="center"/>
                  </w:pPr>
                  <w:r>
                    <w:t xml:space="preserve">82.1</w:t>
                  </w:r>
                </w:p>
              </w:tc>
            </w:tr>
            <w:tr>
              <w:tc>
                <w:tcPr/>
                <w:p>
                  <w:pPr>
                    <w:pStyle w:val="Compact"/>
                    <w:jc w:val="center"/>
                  </w:pPr>
                  <w:r>
                    <w:t xml:space="preserve">All</w:t>
                  </w:r>
                </w:p>
              </w:tc>
              <w:tc>
                <w:tcPr/>
                <w:p>
                  <w:pPr>
                    <w:pStyle w:val="Compact"/>
                    <w:jc w:val="center"/>
                  </w:pPr>
                  <w:r>
                    <w:t xml:space="preserve">50000, 10000</w:t>
                  </w:r>
                </w:p>
              </w:tc>
              <w:tc>
                <w:tcPr/>
                <w:p>
                  <w:pPr>
                    <w:pStyle w:val="Compact"/>
                  </w:pPr>
                </w:p>
              </w:tc>
              <w:tc>
                <w:tcPr/>
                <w:p>
                  <w:pPr>
                    <w:pStyle w:val="Compact"/>
                    <w:jc w:val="center"/>
                  </w:pPr>
                  <w:r>
                    <w:t xml:space="preserve">Error</w:t>
                  </w:r>
                </w:p>
              </w:tc>
            </w:tr>
            <w:tr>
              <w:tc>
                <w:tcPr/>
                <w:p>
                  <w:pPr>
                    <w:pStyle w:val="Compact"/>
                    <w:jc w:val="center"/>
                  </w:pPr>
                  <w:r>
                    <w:t xml:space="preserve">No TRI</w:t>
                  </w:r>
                </w:p>
              </w:tc>
              <w:tc>
                <w:tcPr/>
                <w:p>
                  <w:pPr>
                    <w:pStyle w:val="Compact"/>
                    <w:jc w:val="center"/>
                  </w:pPr>
                  <w:r>
                    <w:t xml:space="preserve">25000, 5000</w:t>
                  </w:r>
                </w:p>
              </w:tc>
              <w:tc>
                <w:tcPr/>
                <w:p>
                  <w:pPr>
                    <w:pStyle w:val="Compact"/>
                    <w:jc w:val="center"/>
                  </w:pPr>
                  <w:r>
                    <w:t xml:space="preserve">90</w:t>
                  </w:r>
                </w:p>
              </w:tc>
              <w:tc>
                <w:tcPr/>
                <w:p>
                  <w:pPr>
                    <w:pStyle w:val="Compact"/>
                    <w:jc w:val="center"/>
                  </w:pPr>
                  <w:r>
                    <w:t xml:space="preserve">84.9</w:t>
                  </w:r>
                </w:p>
              </w:tc>
            </w:tr>
            <w:tr>
              <w:tc>
                <w:tcPr/>
                <w:p>
                  <w:pPr>
                    <w:pStyle w:val="Compact"/>
                    <w:jc w:val="center"/>
                  </w:pPr>
                  <w:r>
                    <w:t xml:space="preserve">No slope</w:t>
                  </w:r>
                </w:p>
              </w:tc>
              <w:tc>
                <w:tcPr/>
                <w:p>
                  <w:pPr>
                    <w:pStyle w:val="Compact"/>
                    <w:jc w:val="center"/>
                  </w:pPr>
                  <w:r>
                    <w:t xml:space="preserve">25000, 5000</w:t>
                  </w:r>
                </w:p>
              </w:tc>
              <w:tc>
                <w:tcPr/>
                <w:p>
                  <w:pPr>
                    <w:pStyle w:val="Compact"/>
                    <w:jc w:val="center"/>
                  </w:pPr>
                  <w:r>
                    <w:t xml:space="preserve">70</w:t>
                  </w:r>
                </w:p>
              </w:tc>
              <w:tc>
                <w:tcPr/>
                <w:p>
                  <w:pPr>
                    <w:pStyle w:val="Compact"/>
                    <w:jc w:val="center"/>
                  </w:pPr>
                  <w:r>
                    <w:t xml:space="preserve">84.8</w:t>
                  </w:r>
                </w:p>
              </w:tc>
            </w:tr>
            <w:tr>
              <w:tc>
                <w:tcPr/>
                <w:p>
                  <w:pPr>
                    <w:pStyle w:val="Compact"/>
                    <w:jc w:val="center"/>
                  </w:pPr>
                  <w:r>
                    <w:t xml:space="preserve">No TRI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87.4</w:t>
                  </w:r>
                </w:p>
              </w:tc>
            </w:tr>
            <w:tr>
              <w:tc>
                <w:tcPr/>
                <w:p>
                  <w:pPr>
                    <w:pStyle w:val="Compact"/>
                    <w:jc w:val="center"/>
                  </w:pPr>
                  <w:r>
                    <w:t xml:space="preserve">No TRI or STI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87.2</w:t>
                  </w:r>
                </w:p>
              </w:tc>
            </w:tr>
            <w:tr>
              <w:tc>
                <w:tcPr/>
                <w:p>
                  <w:pPr>
                    <w:pStyle w:val="Compact"/>
                    <w:jc w:val="center"/>
                  </w:pPr>
                  <w:r>
                    <w:t xml:space="preserve">No STI</w:t>
                  </w:r>
                </w:p>
              </w:tc>
              <w:tc>
                <w:tcPr/>
                <w:p>
                  <w:pPr>
                    <w:pStyle w:val="Compact"/>
                    <w:jc w:val="center"/>
                  </w:pPr>
                  <w:r>
                    <w:t xml:space="preserve">30000, 5000</w:t>
                  </w:r>
                </w:p>
              </w:tc>
              <w:tc>
                <w:tcPr/>
                <w:p>
                  <w:pPr>
                    <w:pStyle w:val="Compact"/>
                    <w:jc w:val="center"/>
                  </w:pPr>
                  <w:r>
                    <w:t xml:space="preserve">??</w:t>
                  </w:r>
                </w:p>
              </w:tc>
              <w:tc>
                <w:tcPr/>
                <w:p>
                  <w:pPr>
                    <w:pStyle w:val="Compact"/>
                    <w:jc w:val="center"/>
                  </w:pPr>
                  <w:r>
                    <w:t xml:space="preserve">87.1</w:t>
                  </w:r>
                </w:p>
              </w:tc>
            </w:tr>
            <w:tr>
              <w:tc>
                <w:tcPr/>
                <w:p>
                  <w:pPr>
                    <w:pStyle w:val="Compact"/>
                    <w:jc w:val="center"/>
                  </w:pPr>
                  <w:r>
                    <w:t xml:space="preserve">No elev</w:t>
                  </w:r>
                </w:p>
              </w:tc>
              <w:tc>
                <w:tcPr/>
                <w:p>
                  <w:pPr>
                    <w:pStyle w:val="Compact"/>
                    <w:jc w:val="center"/>
                  </w:pPr>
                  <w:r>
                    <w:t xml:space="preserve">30000, 5000</w:t>
                  </w:r>
                </w:p>
              </w:tc>
              <w:tc>
                <w:tcPr/>
                <w:p>
                  <w:pPr>
                    <w:pStyle w:val="Compact"/>
                    <w:jc w:val="center"/>
                  </w:pPr>
                  <w:r>
                    <w:t xml:space="preserve">90</w:t>
                  </w:r>
                </w:p>
              </w:tc>
              <w:tc>
                <w:tcPr/>
                <w:p>
                  <w:pPr>
                    <w:pStyle w:val="Compact"/>
                    <w:jc w:val="center"/>
                  </w:pPr>
                  <w:r>
                    <w:t xml:space="preserve">86.3</w:t>
                  </w:r>
                </w:p>
              </w:tc>
            </w:tr>
            <w:tr>
              <w:tc>
                <w:tcPr/>
                <w:p>
                  <w:pPr>
                    <w:pStyle w:val="Compact"/>
                    <w:jc w:val="center"/>
                  </w:pPr>
                  <w:r>
                    <w:t xml:space="preserve">No slope</w:t>
                  </w:r>
                </w:p>
              </w:tc>
              <w:tc>
                <w:tcPr/>
                <w:p>
                  <w:pPr>
                    <w:pStyle w:val="Compact"/>
                    <w:jc w:val="center"/>
                  </w:pPr>
                  <w:r>
                    <w:t xml:space="preserve">30000, 5000</w:t>
                  </w:r>
                </w:p>
              </w:tc>
              <w:tc>
                <w:tcPr/>
                <w:p>
                  <w:pPr>
                    <w:pStyle w:val="Compact"/>
                    <w:jc w:val="center"/>
                  </w:pPr>
                  <w:r>
                    <w:t xml:space="preserve">80</w:t>
                  </w:r>
                </w:p>
              </w:tc>
              <w:tc>
                <w:tcPr/>
                <w:p>
                  <w:pPr>
                    <w:pStyle w:val="Compact"/>
                    <w:jc w:val="center"/>
                  </w:pPr>
                  <w:r>
                    <w:t xml:space="preserve">87.2</w:t>
                  </w:r>
                </w:p>
              </w:tc>
            </w:tr>
            <w:tr>
              <w:tc>
                <w:tcPr/>
                <w:p>
                  <w:pPr>
                    <w:pStyle w:val="Compact"/>
                    <w:jc w:val="center"/>
                  </w:pPr>
                  <w:r>
                    <w:t xml:space="preserve">No aspec</w:t>
                  </w:r>
                </w:p>
              </w:tc>
              <w:tc>
                <w:tcPr/>
                <w:p>
                  <w:pPr>
                    <w:pStyle w:val="Compact"/>
                    <w:jc w:val="center"/>
                  </w:pPr>
                  <w:r>
                    <w:t xml:space="preserve">30000, 5000</w:t>
                  </w:r>
                </w:p>
              </w:tc>
              <w:tc>
                <w:tcPr/>
                <w:p>
                  <w:pPr>
                    <w:pStyle w:val="Compact"/>
                    <w:jc w:val="center"/>
                  </w:pPr>
                  <w:r>
                    <w:t xml:space="preserve">60</w:t>
                  </w:r>
                </w:p>
              </w:tc>
              <w:tc>
                <w:tcPr/>
                <w:p>
                  <w:pPr>
                    <w:pStyle w:val="Compact"/>
                    <w:jc w:val="center"/>
                  </w:pPr>
                  <w:r>
                    <w:t xml:space="preserve">87</w:t>
                  </w:r>
                </w:p>
              </w:tc>
            </w:tr>
            <w:tr>
              <w:tc>
                <w:tcPr/>
                <w:p>
                  <w:pPr>
                    <w:pStyle w:val="Compact"/>
                    <w:jc w:val="center"/>
                  </w:pPr>
                  <w:r>
                    <w:t xml:space="preserve">No curve</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r>
              <w:tc>
                <w:tcPr/>
                <w:p>
                  <w:pPr>
                    <w:pStyle w:val="Compact"/>
                    <w:jc w:val="center"/>
                  </w:pPr>
                  <w:r>
                    <w:t xml:space="preserve">No SPI</w:t>
                  </w:r>
                </w:p>
              </w:tc>
              <w:tc>
                <w:tcPr/>
                <w:p>
                  <w:pPr>
                    <w:pStyle w:val="Compact"/>
                    <w:jc w:val="center"/>
                  </w:pPr>
                  <w:r>
                    <w:t xml:space="preserve">30000, 5000</w:t>
                  </w:r>
                </w:p>
              </w:tc>
              <w:tc>
                <w:tcPr/>
                <w:p>
                  <w:pPr>
                    <w:pStyle w:val="Compact"/>
                    <w:jc w:val="center"/>
                  </w:pPr>
                  <w:r>
                    <w:t xml:space="preserve">70</w:t>
                  </w:r>
                </w:p>
              </w:tc>
              <w:tc>
                <w:tcPr/>
                <w:p>
                  <w:pPr>
                    <w:pStyle w:val="Compact"/>
                    <w:jc w:val="center"/>
                  </w:pPr>
                  <w:r>
                    <w:t xml:space="preserve">87.1</w:t>
                  </w:r>
                </w:p>
              </w:tc>
            </w:tr>
            <w:tr>
              <w:tc>
                <w:tcPr/>
                <w:p>
                  <w:pPr>
                    <w:pStyle w:val="Compact"/>
                    <w:jc w:val="center"/>
                  </w:pPr>
                  <w:r>
                    <w:t xml:space="preserve">No TWI</w:t>
                  </w:r>
                </w:p>
              </w:tc>
              <w:tc>
                <w:tcPr/>
                <w:p>
                  <w:pPr>
                    <w:pStyle w:val="Compact"/>
                    <w:jc w:val="center"/>
                  </w:pPr>
                  <w:r>
                    <w:t xml:space="preserve">30000, 5000</w:t>
                  </w:r>
                </w:p>
              </w:tc>
              <w:tc>
                <w:tcPr/>
                <w:p>
                  <w:pPr>
                    <w:pStyle w:val="Compact"/>
                    <w:jc w:val="center"/>
                  </w:pPr>
                  <w:r>
                    <w:t xml:space="preserve">40</w:t>
                  </w:r>
                </w:p>
              </w:tc>
              <w:tc>
                <w:tcPr/>
                <w:p>
                  <w:pPr>
                    <w:pStyle w:val="Compact"/>
                    <w:jc w:val="center"/>
                  </w:pPr>
                  <w:r>
                    <w:t xml:space="preserve">87.1</w:t>
                  </w:r>
                </w:p>
              </w:tc>
            </w:tr>
          </w:tbl>
          <w:bookmarkEnd w:id="45"/>
          <w:p/>
        </w:tc>
      </w:tr>
    </w:tbl>
    <w:p>
      <w:pPr>
        <w:pStyle w:val="BodyText"/>
      </w:pPr>
      <w:r>
        <w:t xml:space="preserve">Confusion matrix analysis for this model showed a much higher producers accuracy (98.6%) than consumers accuracy (88.1%;</w:t>
      </w:r>
      <w:r>
        <w:t xml:space="preserve"> </w:t>
      </w:r>
      <w:hyperlink w:anchor="tbl-confusion1">
        <w:r>
          <w:rPr>
            <w:rStyle w:val="Hyperlink"/>
          </w:rPr>
          <w:t xml:space="preserve">Table 2</w:t>
        </w:r>
      </w:hyperlink>
      <w:r>
        <w:t xml:space="preserve">). While these results are still satisfactory, they reveal that the model is generally favoring dry land classification over flooded. This can be explained by the relative abundance of dry land pixels vs. flooded pixels, both in the sampling points and across the landscape. Qualitatively, the model appeared to be overfit to stream channels. While many of the larger flood plains were effectively captured, flooded features generally appeared too narrow, especially along smaller tributaries. Additionally, the results were quite noisy, with noticeable speckling in both the dry and flooded regions (</w:t>
      </w:r>
      <w:hyperlink w:anchor="fig-modelCompare">
        <w:r>
          <w:rPr>
            <w:rStyle w:val="Hyperlink"/>
          </w:rPr>
          <w:t xml:space="preserve">Figure 4</w:t>
        </w:r>
      </w:hyperlink>
      <w:r>
        <w:t xml:space="preserve"> </w:t>
      </w:r>
      <w:r>
        <w:t xml:space="preserve">B).</w:t>
      </w:r>
    </w:p>
    <w:tbl>
      <w:tblPr>
        <w:tblStyle w:val="Table"/>
        <w:tblW w:type="pct" w:w="5000"/>
        <w:tblLayout w:type="fixed"/>
        <w:tblLook w:firstRow="0" w:lastRow="0" w:firstColumn="0" w:lastColumn="0" w:noHBand="0" w:noVBand="0" w:val="0000"/>
      </w:tblPr>
      <w:tblGrid>
        <w:gridCol w:w="7920"/>
      </w:tblGrid>
      <w:tr>
        <w:tc>
          <w:tcPr/>
          <w:bookmarkStart w:id="49" w:name="tbl-confusion1"/>
          <w:p>
            <w:pPr>
              <w:jc w:val="center"/>
            </w:pPr>
            <w:pPr>
              <w:jc w:val="start"/>
              <w:spacing w:before="200"/>
              <w:pStyle w:val="ImageCaption"/>
            </w:pPr>
            <w:r>
              <w:t xml:space="preserve">Table 2: The confusion matrix for the most accurate random forest classifier of the San Pedro watershed, including overall, producer’s and consumer’s accuracy.</w:t>
            </w:r>
          </w:p>
          <w:p>
            <w:pPr>
              <w:pStyle w:val="Compact"/>
              <w:jc w:val="center"/>
            </w:pPr>
            <w:r>
              <w:drawing>
                <wp:inline>
                  <wp:extent cx="3931919" cy="1188720"/>
                  <wp:effectExtent b="0" l="0" r="0" t="0"/>
                  <wp:docPr descr="" title="" id="47" name="Picture"/>
                  <a:graphic>
                    <a:graphicData uri="http://schemas.openxmlformats.org/drawingml/2006/picture">
                      <pic:pic>
                        <pic:nvPicPr>
                          <pic:cNvPr descr="images/Confusion1.png" id="48" name="Picture"/>
                          <pic:cNvPicPr>
                            <a:picLocks noChangeArrowheads="1" noChangeAspect="1"/>
                          </pic:cNvPicPr>
                        </pic:nvPicPr>
                        <pic:blipFill>
                          <a:blip r:embed="rId46"/>
                          <a:stretch>
                            <a:fillRect/>
                          </a:stretch>
                        </pic:blipFill>
                        <pic:spPr bwMode="auto">
                          <a:xfrm>
                            <a:off x="0" y="0"/>
                            <a:ext cx="3931919" cy="1188720"/>
                          </a:xfrm>
                          <a:prstGeom prst="rect">
                            <a:avLst/>
                          </a:prstGeom>
                          <a:noFill/>
                          <a:ln w="9525">
                            <a:noFill/>
                            <a:headEnd/>
                            <a:tailEnd/>
                          </a:ln>
                        </pic:spPr>
                      </pic:pic>
                    </a:graphicData>
                  </a:graphic>
                </wp:inline>
              </w:drawing>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modelCompare"/>
          <w:p>
            <w:pPr>
              <w:pStyle w:val="Compact"/>
              <w:jc w:val="center"/>
            </w:pPr>
            <w:r>
              <w:drawing>
                <wp:inline>
                  <wp:extent cx="5334000" cy="6326152"/>
                  <wp:effectExtent b="0" l="0" r="0" t="0"/>
                  <wp:docPr descr="" title="" id="51" name="Picture"/>
                  <a:graphic>
                    <a:graphicData uri="http://schemas.openxmlformats.org/drawingml/2006/picture">
                      <pic:pic>
                        <pic:nvPicPr>
                          <pic:cNvPr descr="images/SanPedro_modelCompare.png" id="52" name="Picture"/>
                          <pic:cNvPicPr>
                            <a:picLocks noChangeArrowheads="1" noChangeAspect="1"/>
                          </pic:cNvPicPr>
                        </pic:nvPicPr>
                        <pic:blipFill>
                          <a:blip r:embed="rId50"/>
                          <a:stretch>
                            <a:fillRect/>
                          </a:stretch>
                        </pic:blipFill>
                        <pic:spPr bwMode="auto">
                          <a:xfrm>
                            <a:off x="0" y="0"/>
                            <a:ext cx="5334000" cy="6326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Side-by-side comparison of FEMA 100-year flood maps (A), raw random forest classification (B), post-processed random forest classification (C), and classification errors of the post-processed classification (D) for the lower San Pedro watershed.</w:t>
            </w:r>
          </w:p>
          <w:bookmarkEnd w:id="53"/>
        </w:tc>
      </w:tr>
    </w:tbl>
    <w:bookmarkEnd w:id="54"/>
    <w:bookmarkStart w:id="59" w:name="post-processing"/>
    <w:p>
      <w:pPr>
        <w:pStyle w:val="Heading4"/>
      </w:pPr>
      <w:r>
        <w:t xml:space="preserve">2.5.2 Post-Processing</w:t>
      </w:r>
    </w:p>
    <w:p>
      <w:pPr>
        <w:pStyle w:val="FirstParagraph"/>
      </w:pPr>
      <w:r>
        <w:t xml:space="preserve">To clean up the RF classification, and further increase its overall accuracy, I post-processed the classification image using a two step process. Firstly, pixel</w:t>
      </w:r>
      <w:r>
        <w:t xml:space="preserve"> </w:t>
      </w:r>
      <w:r>
        <w:t xml:space="preserve">“connectedness”</w:t>
      </w:r>
      <w:r>
        <w:t xml:space="preserve"> </w:t>
      </w:r>
      <w:r>
        <w:t xml:space="preserve">was measured, with pixel groups of 20 or fewer connected pixels (D8) reclassified to 0 (dry land). This process was very effective at removing the speckling, where small pockets were being incorrectly classified as flooded. Secondly, all remaining flooded areas were dilated using a focal maximum function using a square kernel with a 90 m radius (7x7 pixel neighborhood). This both removed noise within the flooded areas, and widened the flood zone along long, thin features, such as tributaries (</w:t>
      </w:r>
      <w:hyperlink w:anchor="fig-modelCompare">
        <w:r>
          <w:rPr>
            <w:rStyle w:val="Hyperlink"/>
          </w:rPr>
          <w:t xml:space="preserve">Figure 4</w:t>
        </w:r>
      </w:hyperlink>
      <w:r>
        <w:t xml:space="preserve"> </w:t>
      </w:r>
      <w:r>
        <w:t xml:space="preserve">C). This process did increase the overall rate of commission errors (incorrectly classifying as flooded), particularly along the banks of major floodplains, however the decreased rate of omission errors (incorrectly classifying as not flooded) more than made up for this fact, and the overall accuracy increased to 90.5% (</w:t>
      </w:r>
      <w:hyperlink w:anchor="fig-modelCompare">
        <w:r>
          <w:rPr>
            <w:rStyle w:val="Hyperlink"/>
          </w:rPr>
          <w:t xml:space="preserve">Figure 4</w:t>
        </w:r>
      </w:hyperlink>
      <w:r>
        <w:t xml:space="preserve"> </w:t>
      </w:r>
      <w:r>
        <w:t xml:space="preserve">D;</w:t>
      </w:r>
      <w:r>
        <w:t xml:space="preserve"> </w:t>
      </w:r>
      <w:hyperlink w:anchor="tbl-confusion2">
        <w:r>
          <w:rPr>
            <w:rStyle w:val="Hyperlink"/>
          </w:rPr>
          <w:t xml:space="preserve">Table 3</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8" w:name="tbl-confusion2"/>
          <w:p>
            <w:pPr>
              <w:jc w:val="center"/>
            </w:pPr>
            <w:pPr>
              <w:jc w:val="start"/>
              <w:spacing w:before="200"/>
              <w:pStyle w:val="ImageCaption"/>
            </w:pPr>
            <w:r>
              <w:t xml:space="preserve">Table 3: The confusion matrix for the post-processed random forest classifier of the San Pedro watershed, including overall, producer’s and consumer’s accuracy.</w:t>
            </w:r>
          </w:p>
          <w:p>
            <w:pPr>
              <w:pStyle w:val="Compact"/>
              <w:jc w:val="center"/>
            </w:pPr>
            <w:r>
              <w:drawing>
                <wp:inline>
                  <wp:extent cx="3931919" cy="1188720"/>
                  <wp:effectExtent b="0" l="0" r="0" t="0"/>
                  <wp:docPr descr="" title="" id="56" name="Picture"/>
                  <a:graphic>
                    <a:graphicData uri="http://schemas.openxmlformats.org/drawingml/2006/picture">
                      <pic:pic>
                        <pic:nvPicPr>
                          <pic:cNvPr descr="images/Confusion2.png" id="57" name="Picture"/>
                          <pic:cNvPicPr>
                            <a:picLocks noChangeArrowheads="1" noChangeAspect="1"/>
                          </pic:cNvPicPr>
                        </pic:nvPicPr>
                        <pic:blipFill>
                          <a:blip r:embed="rId55"/>
                          <a:stretch>
                            <a:fillRect/>
                          </a:stretch>
                        </pic:blipFill>
                        <pic:spPr bwMode="auto">
                          <a:xfrm>
                            <a:off x="0" y="0"/>
                            <a:ext cx="3931919" cy="1188720"/>
                          </a:xfrm>
                          <a:prstGeom prst="rect">
                            <a:avLst/>
                          </a:prstGeom>
                          <a:noFill/>
                          <a:ln w="9525">
                            <a:noFill/>
                            <a:headEnd/>
                            <a:tailEnd/>
                          </a:ln>
                        </pic:spPr>
                      </pic:pic>
                    </a:graphicData>
                  </a:graphic>
                </wp:inline>
              </w:drawing>
            </w:r>
          </w:p>
          <w:bookmarkEnd w:id="58"/>
        </w:tc>
      </w:tr>
    </w:tbl>
    <w:bookmarkEnd w:id="59"/>
    <w:bookmarkEnd w:id="60"/>
    <w:bookmarkStart w:id="65" w:name="scaling-up"/>
    <w:p>
      <w:pPr>
        <w:pStyle w:val="Heading3"/>
      </w:pPr>
      <w:r>
        <w:t xml:space="preserve">2.6 Scaling up</w:t>
      </w:r>
    </w:p>
    <w:p>
      <w:pPr>
        <w:pStyle w:val="FirstParagraph"/>
      </w:pPr>
      <w:r>
        <w:t xml:space="preserve">The chosen RF classification, with post-processing was then applied to the larger ATUR study area, encompassing AZ. The same number of sample points were used and they retained the same structure (i.e. dry, flooded, and training, testing), however the sample locations were adjusted to the larger study area. The overall accuracy of the raw model output measured 86.9% (</w:t>
      </w:r>
      <w:hyperlink w:anchor="tbl-confusion3">
        <w:r>
          <w:rPr>
            <w:rStyle w:val="Hyperlink"/>
          </w:rPr>
          <w:t xml:space="preserve">Table 4</w:t>
        </w:r>
      </w:hyperlink>
      <w:r>
        <w:t xml:space="preserve">). Unfortunately, while the dilated model was successful and has been exported from GEE, the associated accuracy assessment timed out and will have to be completed as a secondary process either within GEE or using external software. Final accuracy assessment of the dilated model is pending.</w:t>
      </w:r>
    </w:p>
    <w:tbl>
      <w:tblPr>
        <w:tblStyle w:val="Table"/>
        <w:tblW w:type="pct" w:w="5000"/>
        <w:tblLayout w:type="fixed"/>
        <w:tblLook w:firstRow="0" w:lastRow="0" w:firstColumn="0" w:lastColumn="0" w:noHBand="0" w:noVBand="0" w:val="0000"/>
      </w:tblPr>
      <w:tblGrid>
        <w:gridCol w:w="7920"/>
      </w:tblGrid>
      <w:tr>
        <w:tc>
          <w:tcPr/>
          <w:bookmarkStart w:id="64" w:name="tbl-confusion3"/>
          <w:p>
            <w:pPr>
              <w:jc w:val="center"/>
            </w:pPr>
            <w:pPr>
              <w:jc w:val="start"/>
              <w:spacing w:before="200"/>
              <w:pStyle w:val="ImageCaption"/>
            </w:pPr>
            <w:r>
              <w:t xml:space="preserve">Table 4: The confusion matrix for the random forest classifier of the full ATUR study area, encompassing Arizona, including overall, producer’s and consumer’s accuracy.</w:t>
            </w:r>
          </w:p>
          <w:p>
            <w:pPr>
              <w:pStyle w:val="Compact"/>
              <w:jc w:val="center"/>
            </w:pPr>
            <w:r>
              <w:drawing>
                <wp:inline>
                  <wp:extent cx="3931919" cy="1188720"/>
                  <wp:effectExtent b="0" l="0" r="0" t="0"/>
                  <wp:docPr descr="" title="" id="62" name="Picture"/>
                  <a:graphic>
                    <a:graphicData uri="http://schemas.openxmlformats.org/drawingml/2006/picture">
                      <pic:pic>
                        <pic:nvPicPr>
                          <pic:cNvPr descr="images/Confusion3.png" id="63" name="Picture"/>
                          <pic:cNvPicPr>
                            <a:picLocks noChangeArrowheads="1" noChangeAspect="1"/>
                          </pic:cNvPicPr>
                        </pic:nvPicPr>
                        <pic:blipFill>
                          <a:blip r:embed="rId61"/>
                          <a:stretch>
                            <a:fillRect/>
                          </a:stretch>
                        </pic:blipFill>
                        <pic:spPr bwMode="auto">
                          <a:xfrm>
                            <a:off x="0" y="0"/>
                            <a:ext cx="3931919" cy="1188720"/>
                          </a:xfrm>
                          <a:prstGeom prst="rect">
                            <a:avLst/>
                          </a:prstGeom>
                          <a:noFill/>
                          <a:ln w="9525">
                            <a:noFill/>
                            <a:headEnd/>
                            <a:tailEnd/>
                          </a:ln>
                        </pic:spPr>
                      </pic:pic>
                    </a:graphicData>
                  </a:graphic>
                </wp:inline>
              </w:drawing>
            </w:r>
          </w:p>
          <w:bookmarkEnd w:id="64"/>
        </w:tc>
      </w:tr>
    </w:tbl>
    <w:bookmarkEnd w:id="65"/>
    <w:bookmarkStart w:id="67" w:name="combining-data-sets"/>
    <w:p>
      <w:pPr>
        <w:pStyle w:val="Heading3"/>
      </w:pPr>
      <w:r>
        <w:t xml:space="preserve">2.7 Combining Data Sets</w:t>
      </w:r>
    </w:p>
    <w:p>
      <w:pPr>
        <w:pStyle w:val="FirstParagraph"/>
      </w:pPr>
      <w:r>
        <w:t xml:space="preserve">Using the newly developed RF classification the FEMA flood map can be augmented and extended to continuous coverage of Arizona. Assuming that the FEMA data is the more accurate dataset, it is given priority. The RF data is then used where no FEMA data exists. Additionally, classification error maps are generated as the difference between the RF classification, and the FEMA classification. These data layers are available for use by the ATUR project participants in the associated</w:t>
      </w:r>
      <w:r>
        <w:t xml:space="preserve"> </w:t>
      </w:r>
      <w:hyperlink r:id="rId66">
        <w:r>
          <w:rPr>
            <w:rStyle w:val="Hyperlink"/>
          </w:rPr>
          <w:t xml:space="preserve">ArcGIS online (AGOL) group</w:t>
        </w:r>
      </w:hyperlink>
      <w:r>
        <w:t xml:space="preserve">.</w:t>
      </w:r>
    </w:p>
    <w:bookmarkEnd w:id="67"/>
    <w:bookmarkEnd w:id="68"/>
    <w:bookmarkStart w:id="70" w:name="conclusion"/>
    <w:p>
      <w:pPr>
        <w:pStyle w:val="Heading2"/>
      </w:pPr>
      <w:r>
        <w:t xml:space="preserve">3 Conclusion</w:t>
      </w:r>
    </w:p>
    <w:p>
      <w:pPr>
        <w:pStyle w:val="FirstParagraph"/>
      </w:pPr>
      <w:r>
        <w:t xml:space="preserve">A state-wide binary classification of flooded areas, for a 100-year flood event, has be generated through the combination of high quality FEMA data, and a machine learning RF classification algorithm used to complement and extend the FEMA data. The classification was carried out using 7 topographic explanatory variables, achieving an overall accuracy of at least 86.9% (final accuracy assessment pending). These newly developed data layers are appropriate for use within the ATUR project, for such analysis as Flood-MAR. Further, I am unaware of any other continuous flood maps for the state of AZ, making this work novel and potentially useful outside of the ATUR group. While improvements could certainly be made to this model, accuracy approaching (or exceeding) 90% is laudable, and these datasets may warrant external publication, pending approval.</w:t>
      </w:r>
    </w:p>
    <w:p>
      <w:pPr>
        <w:pStyle w:val="BodyText"/>
      </w:pPr>
      <w:r>
        <w:t xml:space="preserve">Full project code available on</w:t>
      </w:r>
      <w:r>
        <w:t xml:space="preserve"> </w:t>
      </w:r>
      <w:hyperlink r:id="rId69">
        <w:r>
          <w:rPr>
            <w:rStyle w:val="Hyperlink"/>
          </w:rPr>
          <w:t xml:space="preserve">GEE</w:t>
        </w:r>
      </w:hyperlink>
      <w:r>
        <w:t xml:space="preserve">.</w:t>
      </w:r>
    </w:p>
    <w:bookmarkEnd w:id="70"/>
    <w:bookmarkStart w:id="80" w:name="references"/>
    <w:p>
      <w:pPr>
        <w:pStyle w:val="Heading2"/>
      </w:pPr>
      <w:r>
        <w:t xml:space="preserve">References</w:t>
      </w:r>
    </w:p>
    <w:bookmarkStart w:id="79" w:name="refs"/>
    <w:bookmarkStart w:id="72" w:name="X1f009c1953261ef3604340715656e13b739a1e5"/>
    <w:p>
      <w:pPr>
        <w:pStyle w:val="Bibliography"/>
      </w:pPr>
      <w:r>
        <w:t xml:space="preserve">Aloui, S., Zghibi, A., Mazzoni, A., Elomri, A., &amp; Al-Ansari, T. (2024).</w:t>
      </w:r>
      <w:r>
        <w:t xml:space="preserve"> </w:t>
      </w:r>
      <w:r>
        <w:rPr>
          <w:i/>
          <w:iCs/>
        </w:rPr>
        <w:t xml:space="preserve">Identifying suitable zones for integrated aquifer recharge and flood control in arid qatar using GIS-based multi-criteria decision-making</w:t>
      </w:r>
      <w:r>
        <w:t xml:space="preserve">.</w:t>
      </w:r>
      <w:r>
        <w:t xml:space="preserve"> </w:t>
      </w:r>
      <w:r>
        <w:rPr>
          <w:i/>
          <w:iCs/>
        </w:rPr>
        <w:t xml:space="preserve">25</w:t>
      </w:r>
      <w:r>
        <w:t xml:space="preserve">, 101137.</w:t>
      </w:r>
      <w:r>
        <w:t xml:space="preserve"> </w:t>
      </w:r>
      <w:hyperlink r:id="rId71">
        <w:r>
          <w:rPr>
            <w:rStyle w:val="Hyperlink"/>
          </w:rPr>
          <w:t xml:space="preserve">https://doi.org/10.1016/j.gsd.2024.101137</w:t>
        </w:r>
      </w:hyperlink>
    </w:p>
    <w:bookmarkEnd w:id="72"/>
    <w:bookmarkStart w:id="74" w:name="ref-Mudashiru_Sabtu_Abustan_Balogun_2021"/>
    <w:p>
      <w:pPr>
        <w:pStyle w:val="Bibliography"/>
      </w:pPr>
      <w:r>
        <w:t xml:space="preserve">Mudashiru, R. B., Sabtu, N., Abustan, I., &amp; Balogun, W. (2021). Flood hazard mapping methods: A review.</w:t>
      </w:r>
      <w:r>
        <w:t xml:space="preserve"> </w:t>
      </w:r>
      <w:r>
        <w:rPr>
          <w:i/>
          <w:iCs/>
        </w:rPr>
        <w:t xml:space="preserve">Journal of Hydrology</w:t>
      </w:r>
      <w:r>
        <w:t xml:space="preserve">,</w:t>
      </w:r>
      <w:r>
        <w:t xml:space="preserve"> </w:t>
      </w:r>
      <w:r>
        <w:rPr>
          <w:i/>
          <w:iCs/>
        </w:rPr>
        <w:t xml:space="preserve">603</w:t>
      </w:r>
      <w:r>
        <w:t xml:space="preserve">, 126846.</w:t>
      </w:r>
      <w:r>
        <w:t xml:space="preserve"> </w:t>
      </w:r>
      <w:hyperlink r:id="rId73">
        <w:r>
          <w:rPr>
            <w:rStyle w:val="Hyperlink"/>
          </w:rPr>
          <w:t xml:space="preserve">https://doi.org/10.1016/j.jhydrol.2021.126846</w:t>
        </w:r>
      </w:hyperlink>
    </w:p>
    <w:bookmarkEnd w:id="74"/>
    <w:bookmarkStart w:id="76" w:name="ref-EEFA_F2.2"/>
    <w:p>
      <w:pPr>
        <w:pStyle w:val="Bibliography"/>
      </w:pPr>
      <w:r>
        <w:t xml:space="preserve">Nicolau, A. P., Dyson, K., Saah, D., &amp; Clinton, N. (2023). Chapter F2.2: Accuracy assessment: Quantifying classification quality. In J. A. Cardille, N. Clinton, M. A. Crowley, &amp; D. Saah (Eds.),</w:t>
      </w:r>
      <w:r>
        <w:t xml:space="preserve"> </w:t>
      </w:r>
      <w:r>
        <w:rPr>
          <w:i/>
          <w:iCs/>
        </w:rPr>
        <w:t xml:space="preserve">Cloud-based remote sensing with google earth engine: Fundamentals and applications</w:t>
      </w:r>
      <w:r>
        <w:t xml:space="preserve"> </w:t>
      </w:r>
      <w:r>
        <w:t xml:space="preserve">(1st ed.). Springer Cham.</w:t>
      </w:r>
      <w:r>
        <w:t xml:space="preserve"> </w:t>
      </w:r>
      <w:hyperlink r:id="rId75">
        <w:r>
          <w:rPr>
            <w:rStyle w:val="Hyperlink"/>
          </w:rPr>
          <w:t xml:space="preserve">https://docs.google.com/document/d/1UCB900oCdJERca-2WUeDlCu52MjPKJxETJ_jJcLM0bM/edit?tab=t.0</w:t>
        </w:r>
      </w:hyperlink>
    </w:p>
    <w:bookmarkEnd w:id="76"/>
    <w:bookmarkStart w:id="78" w:name="ref-Tehrany_Jones_Shabani_2019"/>
    <w:p>
      <w:pPr>
        <w:pStyle w:val="Bibliography"/>
      </w:pPr>
      <w:r>
        <w:t xml:space="preserve">Tehrany, M. S., Jones, S., &amp; Shabani, F. (2019). Identifying the essential flood conditioning factors for flood prone area mapping using machine learning techniques.</w:t>
      </w:r>
      <w:r>
        <w:t xml:space="preserve"> </w:t>
      </w:r>
      <w:r>
        <w:rPr>
          <w:i/>
          <w:iCs/>
        </w:rPr>
        <w:t xml:space="preserve">CATENA</w:t>
      </w:r>
      <w:r>
        <w:t xml:space="preserve">,</w:t>
      </w:r>
      <w:r>
        <w:t xml:space="preserve"> </w:t>
      </w:r>
      <w:r>
        <w:rPr>
          <w:i/>
          <w:iCs/>
        </w:rPr>
        <w:t xml:space="preserve">175</w:t>
      </w:r>
      <w:r>
        <w:t xml:space="preserve">, 174–192.</w:t>
      </w:r>
      <w:r>
        <w:t xml:space="preserve"> </w:t>
      </w:r>
      <w:hyperlink r:id="rId77">
        <w:r>
          <w:rPr>
            <w:rStyle w:val="Hyperlink"/>
          </w:rPr>
          <w:t xml:space="preserve">https://doi.org/10.1016/j.catena.2018.12.011</w:t>
        </w:r>
      </w:hyperlink>
    </w:p>
    <w:bookmarkEnd w:id="78"/>
    <w:bookmarkEnd w:id="79"/>
    <w:bookmarkEnd w:id="80"/>
    <w:bookmarkStart w:id="225" w:name="appendix"/>
    <w:p>
      <w:pPr>
        <w:pStyle w:val="Heading2"/>
      </w:pPr>
      <w:r>
        <w:t xml:space="preserve">4 Appendix</w:t>
      </w:r>
    </w:p>
    <w:p>
      <w:pPr>
        <w:pStyle w:val="FirstParagraph"/>
      </w:pPr>
      <w:r>
        <w:t xml:space="preserve">Code used to render these plots, as well as interactive versions of these plots are available on</w:t>
      </w:r>
      <w:r>
        <w:t xml:space="preserve"> </w:t>
      </w:r>
      <w:hyperlink r:id="rId81">
        <w:r>
          <w:rPr>
            <w:rStyle w:val="Hyperlink"/>
          </w:rPr>
          <w:t xml:space="preserve">GEE</w:t>
        </w:r>
      </w:hyperlink>
      <w:r>
        <w:t xml:space="preserve">.</w:t>
      </w:r>
    </w:p>
    <w:p>
      <w:pPr>
        <w:pStyle w:val="BodyText"/>
      </w:pPr>
      <w:r>
        <w:rPr>
          <w:b/>
          <w:bCs/>
        </w:rPr>
        <w:t xml:space="preserve">Flooding</w:t>
      </w:r>
    </w:p>
    <w:tbl>
      <w:tblPr>
        <w:tblStyle w:val="Table"/>
        <w:tblW w:type="pct" w:w="5000"/>
        <w:tblLayout w:type="fixed"/>
        <w:tblLook w:firstRow="0" w:lastRow="0" w:firstColumn="0" w:lastColumn="0" w:noHBand="0" w:noVBand="0" w:val="0000"/>
      </w:tblPr>
      <w:tblGrid>
        <w:gridCol w:w="7920"/>
      </w:tblGrid>
      <w:tr>
        <w:tc>
          <w:tcPr/>
          <w:bookmarkStart w:id="85" w:name="appfig-floodElev"/>
          <w:p>
            <w:pPr>
              <w:pStyle w:val="Compact"/>
              <w:jc w:val="center"/>
            </w:pPr>
            <w:r>
              <w:drawing>
                <wp:inline>
                  <wp:extent cx="5334000" cy="2442858"/>
                  <wp:effectExtent b="0" l="0" r="0" t="0"/>
                  <wp:docPr descr="" title="" id="83" name="Picture"/>
                  <a:graphic>
                    <a:graphicData uri="http://schemas.openxmlformats.org/drawingml/2006/picture">
                      <pic:pic>
                        <pic:nvPicPr>
                          <pic:cNvPr descr="images/Collinearity/flood-elev.png" id="84" name="Picture"/>
                          <pic:cNvPicPr>
                            <a:picLocks noChangeArrowheads="1" noChangeAspect="1"/>
                          </pic:cNvPicPr>
                        </pic:nvPicPr>
                        <pic:blipFill>
                          <a:blip r:embed="rId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 Linear regression analysis of flood risk (binary) and elevation (m) for 5,000 randomly sampled points across the full study area, encompassing Arizona.</w:t>
            </w:r>
          </w:p>
          <w:bookmarkEnd w:id="8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9" w:name="appfig-floodSlope"/>
          <w:p>
            <w:pPr>
              <w:pStyle w:val="Compact"/>
              <w:jc w:val="center"/>
            </w:pPr>
            <w:r>
              <w:drawing>
                <wp:inline>
                  <wp:extent cx="5334000" cy="2442858"/>
                  <wp:effectExtent b="0" l="0" r="0" t="0"/>
                  <wp:docPr descr="" title="" id="87" name="Picture"/>
                  <a:graphic>
                    <a:graphicData uri="http://schemas.openxmlformats.org/drawingml/2006/picture">
                      <pic:pic>
                        <pic:nvPicPr>
                          <pic:cNvPr descr="images/Collinearity/flood-slope.png" id="88" name="Picture"/>
                          <pic:cNvPicPr>
                            <a:picLocks noChangeArrowheads="1" noChangeAspect="1"/>
                          </pic:cNvPicPr>
                        </pic:nvPicPr>
                        <pic:blipFill>
                          <a:blip r:embed="rId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 Linear regression analysis of flood risk (binary) and slope (°) for 5,000 randomly sampled points across the full study area, encompassing Arizona.</w:t>
            </w:r>
          </w:p>
          <w:bookmarkEnd w:id="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3" w:name="appfig-floodAspect"/>
          <w:p>
            <w:pPr>
              <w:pStyle w:val="Compact"/>
              <w:jc w:val="center"/>
            </w:pPr>
            <w:r>
              <w:drawing>
                <wp:inline>
                  <wp:extent cx="5334000" cy="2442858"/>
                  <wp:effectExtent b="0" l="0" r="0" t="0"/>
                  <wp:docPr descr="" title="" id="91" name="Picture"/>
                  <a:graphic>
                    <a:graphicData uri="http://schemas.openxmlformats.org/drawingml/2006/picture">
                      <pic:pic>
                        <pic:nvPicPr>
                          <pic:cNvPr descr="images/Collinearity/flood-aspect.png" id="92" name="Picture"/>
                          <pic:cNvPicPr>
                            <a:picLocks noChangeArrowheads="1" noChangeAspect="1"/>
                          </pic:cNvPicPr>
                        </pic:nvPicPr>
                        <pic:blipFill>
                          <a:blip r:embed="rId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 Linear regression analysis of flood risk (binary) and aspect (°) for 5,000 randomly sampled points across the full study area, encompassing Arizona.</w:t>
            </w:r>
          </w:p>
          <w:bookmarkEnd w:id="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97" w:name="appfig-floodCurve"/>
          <w:p>
            <w:pPr>
              <w:pStyle w:val="Compact"/>
              <w:jc w:val="center"/>
            </w:pPr>
            <w:r>
              <w:drawing>
                <wp:inline>
                  <wp:extent cx="5334000" cy="2442858"/>
                  <wp:effectExtent b="0" l="0" r="0" t="0"/>
                  <wp:docPr descr="" title="" id="95" name="Picture"/>
                  <a:graphic>
                    <a:graphicData uri="http://schemas.openxmlformats.org/drawingml/2006/picture">
                      <pic:pic>
                        <pic:nvPicPr>
                          <pic:cNvPr descr="images/Collinearity/flood-curve.png" id="96" name="Picture"/>
                          <pic:cNvPicPr>
                            <a:picLocks noChangeArrowheads="1" noChangeAspect="1"/>
                          </pic:cNvPicPr>
                        </pic:nvPicPr>
                        <pic:blipFill>
                          <a:blip r:embed="rId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A4: Linear regression analysis of flood risk (binary) and curvature for 5,000 randomly sampled points across the full study area, encompassing Arizona.</w:t>
            </w:r>
          </w:p>
          <w:bookmarkEnd w:id="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1" w:name="appfig-floodSpi"/>
          <w:p>
            <w:pPr>
              <w:pStyle w:val="Compact"/>
              <w:jc w:val="center"/>
            </w:pPr>
            <w:r>
              <w:drawing>
                <wp:inline>
                  <wp:extent cx="5334000" cy="2442858"/>
                  <wp:effectExtent b="0" l="0" r="0" t="0"/>
                  <wp:docPr descr="" title="" id="99" name="Picture"/>
                  <a:graphic>
                    <a:graphicData uri="http://schemas.openxmlformats.org/drawingml/2006/picture">
                      <pic:pic>
                        <pic:nvPicPr>
                          <pic:cNvPr descr="images/Collinearity/flood-spi.png" id="100" name="Picture"/>
                          <pic:cNvPicPr>
                            <a:picLocks noChangeArrowheads="1" noChangeAspect="1"/>
                          </pic:cNvPicPr>
                        </pic:nvPicPr>
                        <pic:blipFill>
                          <a:blip r:embed="rId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A5: Linear regression analysis of flood risk (binary) and stream power index (SPI) for 5,000 randomly sampled points across the full study area, encompassing Arizona.</w:t>
            </w:r>
          </w:p>
          <w:bookmarkEnd w:id="10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5" w:name="appfig-floodTwi"/>
          <w:p>
            <w:pPr>
              <w:pStyle w:val="Compact"/>
              <w:jc w:val="center"/>
            </w:pPr>
            <w:r>
              <w:drawing>
                <wp:inline>
                  <wp:extent cx="5334000" cy="2442858"/>
                  <wp:effectExtent b="0" l="0" r="0" t="0"/>
                  <wp:docPr descr="" title="" id="103" name="Picture"/>
                  <a:graphic>
                    <a:graphicData uri="http://schemas.openxmlformats.org/drawingml/2006/picture">
                      <pic:pic>
                        <pic:nvPicPr>
                          <pic:cNvPr descr="images/Collinearity/flood-twi.png" id="104" name="Picture"/>
                          <pic:cNvPicPr>
                            <a:picLocks noChangeArrowheads="1" noChangeAspect="1"/>
                          </pic:cNvPicPr>
                        </pic:nvPicPr>
                        <pic:blipFill>
                          <a:blip r:embed="rId1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A6: Linear regression analysis of flood risk (binary) and topographic wetness index (TWI) for 5,000 randomly sampled points across the full study area, encompassing Arizona.</w:t>
            </w:r>
          </w:p>
          <w:bookmarkEnd w:id="1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09" w:name="appfig-floodTri"/>
          <w:p>
            <w:pPr>
              <w:pStyle w:val="Compact"/>
              <w:jc w:val="center"/>
            </w:pPr>
            <w:r>
              <w:drawing>
                <wp:inline>
                  <wp:extent cx="5334000" cy="2442858"/>
                  <wp:effectExtent b="0" l="0" r="0" t="0"/>
                  <wp:docPr descr="" title="" id="107" name="Picture"/>
                  <a:graphic>
                    <a:graphicData uri="http://schemas.openxmlformats.org/drawingml/2006/picture">
                      <pic:pic>
                        <pic:nvPicPr>
                          <pic:cNvPr descr="images/Collinearity/flood-tri.png" id="108" name="Picture"/>
                          <pic:cNvPicPr>
                            <a:picLocks noChangeArrowheads="1" noChangeAspect="1"/>
                          </pic:cNvPicPr>
                        </pic:nvPicPr>
                        <pic:blipFill>
                          <a:blip r:embed="rId1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A7: Linear regression analysis of flood risk (binary) and topographic roughness index (TRI) for 5,000 randomly sampled points across the full study area, encompassing Arizona.</w:t>
            </w:r>
          </w:p>
          <w:bookmarkEnd w:id="1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13" w:name="appfig-floodSti"/>
          <w:p>
            <w:pPr>
              <w:pStyle w:val="Compact"/>
              <w:jc w:val="center"/>
            </w:pPr>
            <w:r>
              <w:drawing>
                <wp:inline>
                  <wp:extent cx="5334000" cy="2442858"/>
                  <wp:effectExtent b="0" l="0" r="0" t="0"/>
                  <wp:docPr descr="" title="" id="111" name="Picture"/>
                  <a:graphic>
                    <a:graphicData uri="http://schemas.openxmlformats.org/drawingml/2006/picture">
                      <pic:pic>
                        <pic:nvPicPr>
                          <pic:cNvPr descr="images/Collinearity/flood-sti.png" id="112" name="Picture"/>
                          <pic:cNvPicPr>
                            <a:picLocks noChangeArrowheads="1" noChangeAspect="1"/>
                          </pic:cNvPicPr>
                        </pic:nvPicPr>
                        <pic:blipFill>
                          <a:blip r:embed="rId11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A8: Linear regression analysis of flood risk (binary) and sediment transport index (STI) for 5,000 randomly sampled points across the full study area, encompassing Arizona.</w:t>
            </w:r>
          </w:p>
          <w:bookmarkEnd w:id="113"/>
        </w:tc>
      </w:tr>
    </w:tbl>
    <w:p>
      <w:pPr>
        <w:pStyle w:val="BodyText"/>
      </w:pPr>
      <w:r>
        <w:rPr>
          <w:b/>
          <w:bCs/>
        </w:rPr>
        <w:t xml:space="preserve">Elevation</w:t>
      </w:r>
    </w:p>
    <w:tbl>
      <w:tblPr>
        <w:tblStyle w:val="Table"/>
        <w:tblW w:type="pct" w:w="5000"/>
        <w:tblLayout w:type="fixed"/>
        <w:tblLook w:firstRow="0" w:lastRow="0" w:firstColumn="0" w:lastColumn="0" w:noHBand="0" w:noVBand="0" w:val="0000"/>
      </w:tblPr>
      <w:tblGrid>
        <w:gridCol w:w="7920"/>
      </w:tblGrid>
      <w:tr>
        <w:tc>
          <w:tcPr/>
          <w:bookmarkStart w:id="117" w:name="appfig-elevSlope"/>
          <w:p>
            <w:pPr>
              <w:pStyle w:val="Compact"/>
              <w:jc w:val="center"/>
            </w:pPr>
            <w:r>
              <w:drawing>
                <wp:inline>
                  <wp:extent cx="5334000" cy="2442858"/>
                  <wp:effectExtent b="0" l="0" r="0" t="0"/>
                  <wp:docPr descr="" title="" id="115" name="Picture"/>
                  <a:graphic>
                    <a:graphicData uri="http://schemas.openxmlformats.org/drawingml/2006/picture">
                      <pic:pic>
                        <pic:nvPicPr>
                          <pic:cNvPr descr="images/Collinearity/elev-slope.png" id="116" name="Picture"/>
                          <pic:cNvPicPr>
                            <a:picLocks noChangeArrowheads="1" noChangeAspect="1"/>
                          </pic:cNvPicPr>
                        </pic:nvPicPr>
                        <pic:blipFill>
                          <a:blip r:embed="rId11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A9: Linear regression analysis of elevation (m) and slope (°) for 5,000 randomly sampled points across the full study area, encompassing Arizona.</w:t>
            </w:r>
          </w:p>
          <w:bookmarkEnd w:id="1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1" w:name="appfig-elevAspect"/>
          <w:p>
            <w:pPr>
              <w:pStyle w:val="Compact"/>
              <w:jc w:val="center"/>
            </w:pPr>
            <w:r>
              <w:drawing>
                <wp:inline>
                  <wp:extent cx="5334000" cy="2442858"/>
                  <wp:effectExtent b="0" l="0" r="0" t="0"/>
                  <wp:docPr descr="" title="" id="119" name="Picture"/>
                  <a:graphic>
                    <a:graphicData uri="http://schemas.openxmlformats.org/drawingml/2006/picture">
                      <pic:pic>
                        <pic:nvPicPr>
                          <pic:cNvPr descr="images/Collinearity/elev-aspect.png" id="120" name="Picture"/>
                          <pic:cNvPicPr>
                            <a:picLocks noChangeArrowheads="1" noChangeAspect="1"/>
                          </pic:cNvPicPr>
                        </pic:nvPicPr>
                        <pic:blipFill>
                          <a:blip r:embed="rId1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A10: Linear regression analysis of elevation (m) and aspect (°) for 5,000 randomly sampled points across the full study area, encompassing Arizona.</w:t>
            </w:r>
          </w:p>
          <w:bookmarkEnd w:id="12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5" w:name="appfig-elevCurve"/>
          <w:p>
            <w:pPr>
              <w:pStyle w:val="Compact"/>
              <w:jc w:val="center"/>
            </w:pPr>
            <w:r>
              <w:drawing>
                <wp:inline>
                  <wp:extent cx="5334000" cy="2442858"/>
                  <wp:effectExtent b="0" l="0" r="0" t="0"/>
                  <wp:docPr descr="" title="" id="123" name="Picture"/>
                  <a:graphic>
                    <a:graphicData uri="http://schemas.openxmlformats.org/drawingml/2006/picture">
                      <pic:pic>
                        <pic:nvPicPr>
                          <pic:cNvPr descr="images/Collinearity/elev-curve.png" id="124" name="Picture"/>
                          <pic:cNvPicPr>
                            <a:picLocks noChangeArrowheads="1" noChangeAspect="1"/>
                          </pic:cNvPicPr>
                        </pic:nvPicPr>
                        <pic:blipFill>
                          <a:blip r:embed="rId12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A11: Linear regression analysis of elevation (m) and curvature for 5,000 randomly sampled points across the full study area, encompassing Arizona.</w:t>
            </w:r>
          </w:p>
          <w:bookmarkEnd w:id="12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29" w:name="appfig-elevSpi"/>
          <w:p>
            <w:pPr>
              <w:pStyle w:val="Compact"/>
              <w:jc w:val="center"/>
            </w:pPr>
            <w:r>
              <w:drawing>
                <wp:inline>
                  <wp:extent cx="5334000" cy="2442858"/>
                  <wp:effectExtent b="0" l="0" r="0" t="0"/>
                  <wp:docPr descr="" title="" id="127" name="Picture"/>
                  <a:graphic>
                    <a:graphicData uri="http://schemas.openxmlformats.org/drawingml/2006/picture">
                      <pic:pic>
                        <pic:nvPicPr>
                          <pic:cNvPr descr="images/Collinearity/elev-spi.png" id="128" name="Picture"/>
                          <pic:cNvPicPr>
                            <a:picLocks noChangeArrowheads="1" noChangeAspect="1"/>
                          </pic:cNvPicPr>
                        </pic:nvPicPr>
                        <pic:blipFill>
                          <a:blip r:embed="rId12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A12: Linear regression analysis of elevation (m) and stream power index (SPI) for 5,000 randomly sampled points across the full study area, encompassing Arizona.</w:t>
            </w:r>
          </w:p>
          <w:bookmarkEnd w:id="12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3" w:name="appfig-elevTwi"/>
          <w:p>
            <w:pPr>
              <w:pStyle w:val="Compact"/>
              <w:jc w:val="center"/>
            </w:pPr>
            <w:r>
              <w:drawing>
                <wp:inline>
                  <wp:extent cx="5334000" cy="2442858"/>
                  <wp:effectExtent b="0" l="0" r="0" t="0"/>
                  <wp:docPr descr="" title="" id="131" name="Picture"/>
                  <a:graphic>
                    <a:graphicData uri="http://schemas.openxmlformats.org/drawingml/2006/picture">
                      <pic:pic>
                        <pic:nvPicPr>
                          <pic:cNvPr descr="images/Collinearity/elev-twi.png" id="132" name="Picture"/>
                          <pic:cNvPicPr>
                            <a:picLocks noChangeArrowheads="1" noChangeAspect="1"/>
                          </pic:cNvPicPr>
                        </pic:nvPicPr>
                        <pic:blipFill>
                          <a:blip r:embed="rId13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A13: Linear regression analysis of elevation (m) and topographic wetness index (TWI) for 5,000 randomly sampled points across the full study area, encompassing Arizona.</w:t>
            </w:r>
          </w:p>
          <w:bookmarkEnd w:id="13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37" w:name="appfig-elevTri"/>
          <w:p>
            <w:pPr>
              <w:pStyle w:val="Compact"/>
              <w:jc w:val="center"/>
            </w:pPr>
            <w:r>
              <w:drawing>
                <wp:inline>
                  <wp:extent cx="5334000" cy="2442858"/>
                  <wp:effectExtent b="0" l="0" r="0" t="0"/>
                  <wp:docPr descr="" title="" id="135" name="Picture"/>
                  <a:graphic>
                    <a:graphicData uri="http://schemas.openxmlformats.org/drawingml/2006/picture">
                      <pic:pic>
                        <pic:nvPicPr>
                          <pic:cNvPr descr="images/Collinearity/elev-tri.png" id="136" name="Picture"/>
                          <pic:cNvPicPr>
                            <a:picLocks noChangeArrowheads="1" noChangeAspect="1"/>
                          </pic:cNvPicPr>
                        </pic:nvPicPr>
                        <pic:blipFill>
                          <a:blip r:embed="rId13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A14: Linear regression analysis of elevation (m) and topographic roughness index (TRI) for 5,000 randomly sampled points across the full study area, encompassing Arizona.</w:t>
            </w:r>
          </w:p>
          <w:bookmarkEnd w:id="13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1" w:name="appfig-elevSti"/>
          <w:p>
            <w:pPr>
              <w:pStyle w:val="Compact"/>
              <w:jc w:val="center"/>
            </w:pPr>
            <w:r>
              <w:drawing>
                <wp:inline>
                  <wp:extent cx="5334000" cy="2442858"/>
                  <wp:effectExtent b="0" l="0" r="0" t="0"/>
                  <wp:docPr descr="" title="" id="139" name="Picture"/>
                  <a:graphic>
                    <a:graphicData uri="http://schemas.openxmlformats.org/drawingml/2006/picture">
                      <pic:pic>
                        <pic:nvPicPr>
                          <pic:cNvPr descr="images/Collinearity/elev-sti.png" id="140" name="Picture"/>
                          <pic:cNvPicPr>
                            <a:picLocks noChangeArrowheads="1" noChangeAspect="1"/>
                          </pic:cNvPicPr>
                        </pic:nvPicPr>
                        <pic:blipFill>
                          <a:blip r:embed="rId13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A15: Linear regression analysis of elevation (m) and sediment transport index (STI) for 5,000 randomly sampled points across the full study area, encompassing Arizona.</w:t>
            </w:r>
          </w:p>
          <w:bookmarkEnd w:id="141"/>
        </w:tc>
      </w:tr>
    </w:tbl>
    <w:p>
      <w:pPr>
        <w:pStyle w:val="BodyText"/>
      </w:pPr>
      <w:r>
        <w:rPr>
          <w:b/>
          <w:bCs/>
        </w:rPr>
        <w:t xml:space="preserve">Slope</w:t>
      </w:r>
    </w:p>
    <w:tbl>
      <w:tblPr>
        <w:tblStyle w:val="Table"/>
        <w:tblW w:type="pct" w:w="5000"/>
        <w:tblLayout w:type="fixed"/>
        <w:tblLook w:firstRow="0" w:lastRow="0" w:firstColumn="0" w:lastColumn="0" w:noHBand="0" w:noVBand="0" w:val="0000"/>
      </w:tblPr>
      <w:tblGrid>
        <w:gridCol w:w="7920"/>
      </w:tblGrid>
      <w:tr>
        <w:tc>
          <w:tcPr/>
          <w:bookmarkStart w:id="145" w:name="appfig-slopeAspect"/>
          <w:p>
            <w:pPr>
              <w:pStyle w:val="Compact"/>
              <w:jc w:val="center"/>
            </w:pPr>
            <w:r>
              <w:drawing>
                <wp:inline>
                  <wp:extent cx="5334000" cy="2442858"/>
                  <wp:effectExtent b="0" l="0" r="0" t="0"/>
                  <wp:docPr descr="" title="" id="143" name="Picture"/>
                  <a:graphic>
                    <a:graphicData uri="http://schemas.openxmlformats.org/drawingml/2006/picture">
                      <pic:pic>
                        <pic:nvPicPr>
                          <pic:cNvPr descr="images/Collinearity/slope-aspect.png" id="144" name="Picture"/>
                          <pic:cNvPicPr>
                            <a:picLocks noChangeArrowheads="1" noChangeAspect="1"/>
                          </pic:cNvPicPr>
                        </pic:nvPicPr>
                        <pic:blipFill>
                          <a:blip r:embed="rId14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A16: Linear regression analysis of slope (°) and aspect (°) for 5,000 randomly sampled points across the full study area, encompassing Arizona.</w:t>
            </w:r>
          </w:p>
          <w:bookmarkEnd w:id="14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9" w:name="appfig-slopeCurve"/>
          <w:p>
            <w:pPr>
              <w:pStyle w:val="Compact"/>
              <w:jc w:val="center"/>
            </w:pPr>
            <w:r>
              <w:drawing>
                <wp:inline>
                  <wp:extent cx="5334000" cy="2442858"/>
                  <wp:effectExtent b="0" l="0" r="0" t="0"/>
                  <wp:docPr descr="" title="" id="147" name="Picture"/>
                  <a:graphic>
                    <a:graphicData uri="http://schemas.openxmlformats.org/drawingml/2006/picture">
                      <pic:pic>
                        <pic:nvPicPr>
                          <pic:cNvPr descr="images/Collinearity/slope-curve.png" id="148" name="Picture"/>
                          <pic:cNvPicPr>
                            <a:picLocks noChangeArrowheads="1" noChangeAspect="1"/>
                          </pic:cNvPicPr>
                        </pic:nvPicPr>
                        <pic:blipFill>
                          <a:blip r:embed="rId14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A17: Linear regression analysis of slope (°) and curvature for 5,000 randomly sampled points across the full study area, encompassing Arizona.</w:t>
            </w:r>
          </w:p>
          <w:bookmarkEnd w:id="1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3" w:name="appfig-slopeSpi"/>
          <w:p>
            <w:pPr>
              <w:pStyle w:val="Compact"/>
              <w:jc w:val="center"/>
            </w:pPr>
            <w:r>
              <w:drawing>
                <wp:inline>
                  <wp:extent cx="5334000" cy="2442858"/>
                  <wp:effectExtent b="0" l="0" r="0" t="0"/>
                  <wp:docPr descr="" title="" id="151" name="Picture"/>
                  <a:graphic>
                    <a:graphicData uri="http://schemas.openxmlformats.org/drawingml/2006/picture">
                      <pic:pic>
                        <pic:nvPicPr>
                          <pic:cNvPr descr="images/Collinearity/slope-spi.png" id="152" name="Picture"/>
                          <pic:cNvPicPr>
                            <a:picLocks noChangeArrowheads="1" noChangeAspect="1"/>
                          </pic:cNvPicPr>
                        </pic:nvPicPr>
                        <pic:blipFill>
                          <a:blip r:embed="rId15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A18: Linear regression analysis of slope (°) and stream power index (SPI) for 5,000 randomly sampled points across the full study area, encompassing Arizona.</w:t>
            </w:r>
          </w:p>
          <w:bookmarkEnd w:id="1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7" w:name="appfig-slopeTwi"/>
          <w:p>
            <w:pPr>
              <w:pStyle w:val="Compact"/>
              <w:jc w:val="center"/>
            </w:pPr>
            <w:r>
              <w:drawing>
                <wp:inline>
                  <wp:extent cx="5334000" cy="2442858"/>
                  <wp:effectExtent b="0" l="0" r="0" t="0"/>
                  <wp:docPr descr="" title="" id="155" name="Picture"/>
                  <a:graphic>
                    <a:graphicData uri="http://schemas.openxmlformats.org/drawingml/2006/picture">
                      <pic:pic>
                        <pic:nvPicPr>
                          <pic:cNvPr descr="images/Collinearity/slope-twi.png" id="156" name="Picture"/>
                          <pic:cNvPicPr>
                            <a:picLocks noChangeArrowheads="1" noChangeAspect="1"/>
                          </pic:cNvPicPr>
                        </pic:nvPicPr>
                        <pic:blipFill>
                          <a:blip r:embed="rId15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A19: Linear regression analysis of slope (°) and topographic wetness index (TWI) for 5,000 randomly sampled points across the full study area, encompassing Arizona.</w:t>
            </w:r>
          </w:p>
          <w:bookmarkEnd w:id="1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1" w:name="appfig-slopeTri"/>
          <w:p>
            <w:pPr>
              <w:pStyle w:val="Compact"/>
              <w:jc w:val="center"/>
            </w:pPr>
            <w:r>
              <w:drawing>
                <wp:inline>
                  <wp:extent cx="5334000" cy="2442858"/>
                  <wp:effectExtent b="0" l="0" r="0" t="0"/>
                  <wp:docPr descr="" title="" id="159" name="Picture"/>
                  <a:graphic>
                    <a:graphicData uri="http://schemas.openxmlformats.org/drawingml/2006/picture">
                      <pic:pic>
                        <pic:nvPicPr>
                          <pic:cNvPr descr="images/Collinearity/slope-tri.png" id="160" name="Picture"/>
                          <pic:cNvPicPr>
                            <a:picLocks noChangeArrowheads="1" noChangeAspect="1"/>
                          </pic:cNvPicPr>
                        </pic:nvPicPr>
                        <pic:blipFill>
                          <a:blip r:embed="rId15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A20: Linear regression analysis of slope (°) and topographic roughness index (TRI) for 5,000 randomly sampled points across the full study area, encompassing Arizona.</w:t>
            </w:r>
          </w:p>
          <w:bookmarkEnd w:id="1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65" w:name="appfig-slopeSti"/>
          <w:p>
            <w:pPr>
              <w:pStyle w:val="Compact"/>
              <w:jc w:val="center"/>
            </w:pPr>
            <w:r>
              <w:drawing>
                <wp:inline>
                  <wp:extent cx="5334000" cy="2442858"/>
                  <wp:effectExtent b="0" l="0" r="0" t="0"/>
                  <wp:docPr descr="" title="" id="163" name="Picture"/>
                  <a:graphic>
                    <a:graphicData uri="http://schemas.openxmlformats.org/drawingml/2006/picture">
                      <pic:pic>
                        <pic:nvPicPr>
                          <pic:cNvPr descr="images/Collinearity/slope-sti.png" id="164" name="Picture"/>
                          <pic:cNvPicPr>
                            <a:picLocks noChangeArrowheads="1" noChangeAspect="1"/>
                          </pic:cNvPicPr>
                        </pic:nvPicPr>
                        <pic:blipFill>
                          <a:blip r:embed="rId16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A21: Linear regression analysis of slope (°) and sediment transport index (STI) for 5,000 randomly sampled points across the full study area, encompassing Arizona.</w:t>
            </w:r>
          </w:p>
          <w:bookmarkEnd w:id="165"/>
        </w:tc>
      </w:tr>
    </w:tbl>
    <w:p>
      <w:pPr>
        <w:pStyle w:val="BodyText"/>
      </w:pPr>
      <w:r>
        <w:rPr>
          <w:b/>
          <w:bCs/>
        </w:rPr>
        <w:t xml:space="preserve">Aspect</w:t>
      </w:r>
    </w:p>
    <w:tbl>
      <w:tblPr>
        <w:tblStyle w:val="Table"/>
        <w:tblW w:type="pct" w:w="5000"/>
        <w:tblLayout w:type="fixed"/>
        <w:tblLook w:firstRow="0" w:lastRow="0" w:firstColumn="0" w:lastColumn="0" w:noHBand="0" w:noVBand="0" w:val="0000"/>
      </w:tblPr>
      <w:tblGrid>
        <w:gridCol w:w="7920"/>
      </w:tblGrid>
      <w:tr>
        <w:tc>
          <w:tcPr/>
          <w:bookmarkStart w:id="169" w:name="appfig-aspectCurve"/>
          <w:p>
            <w:pPr>
              <w:pStyle w:val="Compact"/>
              <w:jc w:val="center"/>
            </w:pPr>
            <w:r>
              <w:drawing>
                <wp:inline>
                  <wp:extent cx="5334000" cy="2442858"/>
                  <wp:effectExtent b="0" l="0" r="0" t="0"/>
                  <wp:docPr descr="" title="" id="167" name="Picture"/>
                  <a:graphic>
                    <a:graphicData uri="http://schemas.openxmlformats.org/drawingml/2006/picture">
                      <pic:pic>
                        <pic:nvPicPr>
                          <pic:cNvPr descr="images/Collinearity/aspect-curve.png" id="168" name="Picture"/>
                          <pic:cNvPicPr>
                            <a:picLocks noChangeArrowheads="1" noChangeAspect="1"/>
                          </pic:cNvPicPr>
                        </pic:nvPicPr>
                        <pic:blipFill>
                          <a:blip r:embed="rId16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A22: Linear regression analysis of aspect (°) and curvature for 5,000 randomly sampled points across the full study area, encompassing Arizona.</w:t>
            </w:r>
          </w:p>
          <w:bookmarkEnd w:id="16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3" w:name="appfig-aspectSpi"/>
          <w:p>
            <w:pPr>
              <w:pStyle w:val="Compact"/>
              <w:jc w:val="center"/>
            </w:pPr>
            <w:r>
              <w:drawing>
                <wp:inline>
                  <wp:extent cx="5334000" cy="2442858"/>
                  <wp:effectExtent b="0" l="0" r="0" t="0"/>
                  <wp:docPr descr="" title="" id="171" name="Picture"/>
                  <a:graphic>
                    <a:graphicData uri="http://schemas.openxmlformats.org/drawingml/2006/picture">
                      <pic:pic>
                        <pic:nvPicPr>
                          <pic:cNvPr descr="images/Collinearity/aspect-spi.png" id="172" name="Picture"/>
                          <pic:cNvPicPr>
                            <a:picLocks noChangeArrowheads="1" noChangeAspect="1"/>
                          </pic:cNvPicPr>
                        </pic:nvPicPr>
                        <pic:blipFill>
                          <a:blip r:embed="rId17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A23: Linear regression analysis of aspect (°) and stream power index (SPI) for 5,000 randomly sampled points across the full study area, encompassing Arizona.</w:t>
            </w:r>
          </w:p>
          <w:bookmarkEnd w:id="17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77" w:name="appfig-aspectTwi"/>
          <w:p>
            <w:pPr>
              <w:pStyle w:val="Compact"/>
              <w:jc w:val="center"/>
            </w:pPr>
            <w:r>
              <w:drawing>
                <wp:inline>
                  <wp:extent cx="5334000" cy="2442858"/>
                  <wp:effectExtent b="0" l="0" r="0" t="0"/>
                  <wp:docPr descr="" title="" id="175" name="Picture"/>
                  <a:graphic>
                    <a:graphicData uri="http://schemas.openxmlformats.org/drawingml/2006/picture">
                      <pic:pic>
                        <pic:nvPicPr>
                          <pic:cNvPr descr="images/Collinearity/aspect-twi.png" id="176" name="Picture"/>
                          <pic:cNvPicPr>
                            <a:picLocks noChangeArrowheads="1" noChangeAspect="1"/>
                          </pic:cNvPicPr>
                        </pic:nvPicPr>
                        <pic:blipFill>
                          <a:blip r:embed="rId17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A24: Linear regression analysis of aspect (°) and topographic wetness index (TWI) for 5,000 randomly sampled points across the full study area, encompassing Arizona.</w:t>
            </w:r>
          </w:p>
          <w:bookmarkEnd w:id="17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1" w:name="appfig-aspectTri"/>
          <w:p>
            <w:pPr>
              <w:pStyle w:val="Compact"/>
              <w:jc w:val="center"/>
            </w:pPr>
            <w:r>
              <w:drawing>
                <wp:inline>
                  <wp:extent cx="5334000" cy="2442858"/>
                  <wp:effectExtent b="0" l="0" r="0" t="0"/>
                  <wp:docPr descr="" title="" id="179" name="Picture"/>
                  <a:graphic>
                    <a:graphicData uri="http://schemas.openxmlformats.org/drawingml/2006/picture">
                      <pic:pic>
                        <pic:nvPicPr>
                          <pic:cNvPr descr="images/Collinearity/aspect-tri.png" id="180" name="Picture"/>
                          <pic:cNvPicPr>
                            <a:picLocks noChangeArrowheads="1" noChangeAspect="1"/>
                          </pic:cNvPicPr>
                        </pic:nvPicPr>
                        <pic:blipFill>
                          <a:blip r:embed="rId17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A25: Linear regression analysis of aspect (°) and topographic roughness index (TRI) for 5,000 randomly sampled points across the full study area, encompassing Arizona.</w:t>
            </w:r>
          </w:p>
          <w:bookmarkEnd w:id="18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85" w:name="appfig-aspectSti"/>
          <w:p>
            <w:pPr>
              <w:pStyle w:val="Compact"/>
              <w:jc w:val="center"/>
            </w:pPr>
            <w:r>
              <w:drawing>
                <wp:inline>
                  <wp:extent cx="5334000" cy="2442858"/>
                  <wp:effectExtent b="0" l="0" r="0" t="0"/>
                  <wp:docPr descr="" title="" id="183" name="Picture"/>
                  <a:graphic>
                    <a:graphicData uri="http://schemas.openxmlformats.org/drawingml/2006/picture">
                      <pic:pic>
                        <pic:nvPicPr>
                          <pic:cNvPr descr="images/Collinearity/aspect-sti.png" id="184" name="Picture"/>
                          <pic:cNvPicPr>
                            <a:picLocks noChangeArrowheads="1" noChangeAspect="1"/>
                          </pic:cNvPicPr>
                        </pic:nvPicPr>
                        <pic:blipFill>
                          <a:blip r:embed="rId18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A26: Linear regression analysis of aspect (°) and sediment transport index (STI) for 5,000 randomly sampled points across the full study area, encompassing Arizona.</w:t>
            </w:r>
          </w:p>
          <w:bookmarkEnd w:id="185"/>
        </w:tc>
      </w:tr>
    </w:tbl>
    <w:p>
      <w:pPr>
        <w:pStyle w:val="BodyText"/>
      </w:pPr>
      <w:r>
        <w:rPr>
          <w:b/>
          <w:bCs/>
        </w:rPr>
        <w:t xml:space="preserve">Curvature</w:t>
      </w:r>
    </w:p>
    <w:tbl>
      <w:tblPr>
        <w:tblStyle w:val="Table"/>
        <w:tblW w:type="pct" w:w="5000"/>
        <w:tblLayout w:type="fixed"/>
        <w:tblLook w:firstRow="0" w:lastRow="0" w:firstColumn="0" w:lastColumn="0" w:noHBand="0" w:noVBand="0" w:val="0000"/>
      </w:tblPr>
      <w:tblGrid>
        <w:gridCol w:w="7920"/>
      </w:tblGrid>
      <w:tr>
        <w:tc>
          <w:tcPr/>
          <w:bookmarkStart w:id="189" w:name="appfig-curveSpi"/>
          <w:p>
            <w:pPr>
              <w:pStyle w:val="Compact"/>
              <w:jc w:val="center"/>
            </w:pPr>
            <w:r>
              <w:drawing>
                <wp:inline>
                  <wp:extent cx="5334000" cy="2442858"/>
                  <wp:effectExtent b="0" l="0" r="0" t="0"/>
                  <wp:docPr descr="" title="" id="187" name="Picture"/>
                  <a:graphic>
                    <a:graphicData uri="http://schemas.openxmlformats.org/drawingml/2006/picture">
                      <pic:pic>
                        <pic:nvPicPr>
                          <pic:cNvPr descr="images/Collinearity/curve-spi.png" id="188" name="Picture"/>
                          <pic:cNvPicPr>
                            <a:picLocks noChangeArrowheads="1" noChangeAspect="1"/>
                          </pic:cNvPicPr>
                        </pic:nvPicPr>
                        <pic:blipFill>
                          <a:blip r:embed="rId18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A27: Linear regression analysis of curvature and stream power index (SPI) for 5,000 randomly sampled points across the full study area, encompassing Arizona.</w:t>
            </w:r>
          </w:p>
          <w:bookmarkEnd w:id="18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3" w:name="appfig-curveTwi"/>
          <w:p>
            <w:pPr>
              <w:pStyle w:val="Compact"/>
              <w:jc w:val="center"/>
            </w:pPr>
            <w:r>
              <w:drawing>
                <wp:inline>
                  <wp:extent cx="5334000" cy="2442858"/>
                  <wp:effectExtent b="0" l="0" r="0" t="0"/>
                  <wp:docPr descr="" title="" id="191" name="Picture"/>
                  <a:graphic>
                    <a:graphicData uri="http://schemas.openxmlformats.org/drawingml/2006/picture">
                      <pic:pic>
                        <pic:nvPicPr>
                          <pic:cNvPr descr="images/Collinearity/curve-twi.png" id="192" name="Picture"/>
                          <pic:cNvPicPr>
                            <a:picLocks noChangeArrowheads="1" noChangeAspect="1"/>
                          </pic:cNvPicPr>
                        </pic:nvPicPr>
                        <pic:blipFill>
                          <a:blip r:embed="rId19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A28: Linear regression analysis of curvature and topographic wetness index (TWI) for 5,000 randomly sampled points across the full study area, encompassing Arizona.</w:t>
            </w:r>
          </w:p>
          <w:bookmarkEnd w:id="19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97" w:name="appfig-curveTri"/>
          <w:p>
            <w:pPr>
              <w:pStyle w:val="Compact"/>
              <w:jc w:val="center"/>
            </w:pPr>
            <w:r>
              <w:drawing>
                <wp:inline>
                  <wp:extent cx="5334000" cy="2442858"/>
                  <wp:effectExtent b="0" l="0" r="0" t="0"/>
                  <wp:docPr descr="" title="" id="195" name="Picture"/>
                  <a:graphic>
                    <a:graphicData uri="http://schemas.openxmlformats.org/drawingml/2006/picture">
                      <pic:pic>
                        <pic:nvPicPr>
                          <pic:cNvPr descr="images/Collinearity/curve-tri.png" id="196" name="Picture"/>
                          <pic:cNvPicPr>
                            <a:picLocks noChangeArrowheads="1" noChangeAspect="1"/>
                          </pic:cNvPicPr>
                        </pic:nvPicPr>
                        <pic:blipFill>
                          <a:blip r:embed="rId19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A29: Linear regression analysis of curvature and topographic roughness index (TRI) for 5,000 randomly sampled points across the full study area, encompassing Arizona.</w:t>
            </w:r>
          </w:p>
          <w:bookmarkEnd w:id="19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1" w:name="appfig-curveSti"/>
          <w:p>
            <w:pPr>
              <w:pStyle w:val="Compact"/>
              <w:jc w:val="center"/>
            </w:pPr>
            <w:r>
              <w:drawing>
                <wp:inline>
                  <wp:extent cx="5334000" cy="2442858"/>
                  <wp:effectExtent b="0" l="0" r="0" t="0"/>
                  <wp:docPr descr="" title="" id="199" name="Picture"/>
                  <a:graphic>
                    <a:graphicData uri="http://schemas.openxmlformats.org/drawingml/2006/picture">
                      <pic:pic>
                        <pic:nvPicPr>
                          <pic:cNvPr descr="images/Collinearity/curve-sti.png" id="200" name="Picture"/>
                          <pic:cNvPicPr>
                            <a:picLocks noChangeArrowheads="1" noChangeAspect="1"/>
                          </pic:cNvPicPr>
                        </pic:nvPicPr>
                        <pic:blipFill>
                          <a:blip r:embed="rId19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A30: Linear regression analysis of curvature and sediment transport index (STI) for 5,000 randomly sampled points across the full study area, encompassing Arizona.</w:t>
            </w:r>
          </w:p>
          <w:bookmarkEnd w:id="201"/>
        </w:tc>
      </w:tr>
    </w:tbl>
    <w:p>
      <w:pPr>
        <w:pStyle w:val="BodyText"/>
      </w:pPr>
      <w:r>
        <w:rPr>
          <w:b/>
          <w:bCs/>
        </w:rPr>
        <w:t xml:space="preserve">Stream Power Index</w:t>
      </w:r>
    </w:p>
    <w:tbl>
      <w:tblPr>
        <w:tblStyle w:val="Table"/>
        <w:tblW w:type="pct" w:w="5000"/>
        <w:tblLayout w:type="fixed"/>
        <w:tblLook w:firstRow="0" w:lastRow="0" w:firstColumn="0" w:lastColumn="0" w:noHBand="0" w:noVBand="0" w:val="0000"/>
      </w:tblPr>
      <w:tblGrid>
        <w:gridCol w:w="7920"/>
      </w:tblGrid>
      <w:tr>
        <w:tc>
          <w:tcPr/>
          <w:bookmarkStart w:id="205" w:name="appfig-spiTwi"/>
          <w:p>
            <w:pPr>
              <w:pStyle w:val="Compact"/>
              <w:jc w:val="center"/>
            </w:pPr>
            <w:r>
              <w:drawing>
                <wp:inline>
                  <wp:extent cx="5334000" cy="2442858"/>
                  <wp:effectExtent b="0" l="0" r="0" t="0"/>
                  <wp:docPr descr="" title="" id="203" name="Picture"/>
                  <a:graphic>
                    <a:graphicData uri="http://schemas.openxmlformats.org/drawingml/2006/picture">
                      <pic:pic>
                        <pic:nvPicPr>
                          <pic:cNvPr descr="images/Collinearity/spi-twi.png" id="204" name="Picture"/>
                          <pic:cNvPicPr>
                            <a:picLocks noChangeArrowheads="1" noChangeAspect="1"/>
                          </pic:cNvPicPr>
                        </pic:nvPicPr>
                        <pic:blipFill>
                          <a:blip r:embed="rId202"/>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A31: Linear regression analysis of stream power index (SPI) and topographic wetness index (TWI) for 5,000 randomly sampled points across the full study area, encompassing Arizona.</w:t>
            </w:r>
          </w:p>
          <w:bookmarkEnd w:id="20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09" w:name="appfig-spiTri"/>
          <w:p>
            <w:pPr>
              <w:pStyle w:val="Compact"/>
              <w:jc w:val="center"/>
            </w:pPr>
            <w:r>
              <w:drawing>
                <wp:inline>
                  <wp:extent cx="5334000" cy="2442858"/>
                  <wp:effectExtent b="0" l="0" r="0" t="0"/>
                  <wp:docPr descr="" title="" id="207" name="Picture"/>
                  <a:graphic>
                    <a:graphicData uri="http://schemas.openxmlformats.org/drawingml/2006/picture">
                      <pic:pic>
                        <pic:nvPicPr>
                          <pic:cNvPr descr="images/Collinearity/spi-tri.png" id="208" name="Picture"/>
                          <pic:cNvPicPr>
                            <a:picLocks noChangeArrowheads="1" noChangeAspect="1"/>
                          </pic:cNvPicPr>
                        </pic:nvPicPr>
                        <pic:blipFill>
                          <a:blip r:embed="rId206"/>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A32: Linear regression analysis of stream power index (SPI) and topographic roughness index (TRI) for 5,000 randomly sampled points across the full study area, encompassing Arizona.</w:t>
            </w:r>
          </w:p>
          <w:bookmarkEnd w:id="20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13" w:name="appfig-spiSti"/>
          <w:p>
            <w:pPr>
              <w:pStyle w:val="Compact"/>
              <w:jc w:val="center"/>
            </w:pPr>
            <w:r>
              <w:drawing>
                <wp:inline>
                  <wp:extent cx="5334000" cy="2442858"/>
                  <wp:effectExtent b="0" l="0" r="0" t="0"/>
                  <wp:docPr descr="" title="" id="211" name="Picture"/>
                  <a:graphic>
                    <a:graphicData uri="http://schemas.openxmlformats.org/drawingml/2006/picture">
                      <pic:pic>
                        <pic:nvPicPr>
                          <pic:cNvPr descr="images/Collinearity/spi-sti.png" id="212" name="Picture"/>
                          <pic:cNvPicPr>
                            <a:picLocks noChangeArrowheads="1" noChangeAspect="1"/>
                          </pic:cNvPicPr>
                        </pic:nvPicPr>
                        <pic:blipFill>
                          <a:blip r:embed="rId210"/>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A33: Linear regression analysis of stream power index (SPI) and sediment transport index (STI) for 5,000 randomly sampled points across the full study area, encompassing Arizona.</w:t>
            </w:r>
          </w:p>
          <w:bookmarkEnd w:id="213"/>
        </w:tc>
      </w:tr>
    </w:tbl>
    <w:p>
      <w:pPr>
        <w:pStyle w:val="BodyText"/>
      </w:pPr>
      <w:r>
        <w:rPr>
          <w:b/>
          <w:bCs/>
        </w:rPr>
        <w:t xml:space="preserve">Topographic Wetness Index</w:t>
      </w:r>
    </w:p>
    <w:tbl>
      <w:tblPr>
        <w:tblStyle w:val="Table"/>
        <w:tblW w:type="pct" w:w="5000"/>
        <w:tblLayout w:type="fixed"/>
        <w:tblLook w:firstRow="0" w:lastRow="0" w:firstColumn="0" w:lastColumn="0" w:noHBand="0" w:noVBand="0" w:val="0000"/>
      </w:tblPr>
      <w:tblGrid>
        <w:gridCol w:w="7920"/>
      </w:tblGrid>
      <w:tr>
        <w:tc>
          <w:tcPr/>
          <w:bookmarkStart w:id="217" w:name="appfig-twiTri"/>
          <w:p>
            <w:pPr>
              <w:pStyle w:val="Compact"/>
              <w:jc w:val="center"/>
            </w:pPr>
            <w:r>
              <w:drawing>
                <wp:inline>
                  <wp:extent cx="5334000" cy="2442858"/>
                  <wp:effectExtent b="0" l="0" r="0" t="0"/>
                  <wp:docPr descr="" title="" id="215" name="Picture"/>
                  <a:graphic>
                    <a:graphicData uri="http://schemas.openxmlformats.org/drawingml/2006/picture">
                      <pic:pic>
                        <pic:nvPicPr>
                          <pic:cNvPr descr="images/Collinearity/twi-tri.png" id="216" name="Picture"/>
                          <pic:cNvPicPr>
                            <a:picLocks noChangeArrowheads="1" noChangeAspect="1"/>
                          </pic:cNvPicPr>
                        </pic:nvPicPr>
                        <pic:blipFill>
                          <a:blip r:embed="rId214"/>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A34: Linear regression analysis of topographic wetness index (TWI) and topographic roughness index (TRI) for 5,000 randomly sampled points across the full study area, encompassing Arizona.</w:t>
            </w:r>
          </w:p>
          <w:bookmarkEnd w:id="21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21" w:name="appfig-twiSti"/>
          <w:p>
            <w:pPr>
              <w:pStyle w:val="Compact"/>
              <w:jc w:val="center"/>
            </w:pPr>
            <w:r>
              <w:drawing>
                <wp:inline>
                  <wp:extent cx="5334000" cy="2442858"/>
                  <wp:effectExtent b="0" l="0" r="0" t="0"/>
                  <wp:docPr descr="" title="" id="219" name="Picture"/>
                  <a:graphic>
                    <a:graphicData uri="http://schemas.openxmlformats.org/drawingml/2006/picture">
                      <pic:pic>
                        <pic:nvPicPr>
                          <pic:cNvPr descr="images/Collinearity/tri-sti.png" id="220" name="Picture"/>
                          <pic:cNvPicPr>
                            <a:picLocks noChangeArrowheads="1" noChangeAspect="1"/>
                          </pic:cNvPicPr>
                        </pic:nvPicPr>
                        <pic:blipFill>
                          <a:blip r:embed="rId2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A35: Linear regression analysis of topographic wetness index (TRI) and sediment transport index (STI) for 5,000 randomly sampled points across the full study area, encompassing Arizona.</w:t>
            </w:r>
          </w:p>
          <w:bookmarkEnd w:id="221"/>
        </w:tc>
      </w:tr>
    </w:tbl>
    <w:p>
      <w:pPr>
        <w:pStyle w:val="BodyText"/>
      </w:pPr>
      <w:r>
        <w:rPr>
          <w:b/>
          <w:bCs/>
        </w:rPr>
        <w:t xml:space="preserve">Topographic Roughness Index</w:t>
      </w:r>
    </w:p>
    <w:tbl>
      <w:tblPr>
        <w:tblStyle w:val="Table"/>
        <w:tblW w:type="pct" w:w="5000"/>
        <w:tblLayout w:type="fixed"/>
        <w:tblLook w:firstRow="0" w:lastRow="0" w:firstColumn="0" w:lastColumn="0" w:noHBand="0" w:noVBand="0" w:val="0000"/>
      </w:tblPr>
      <w:tblGrid>
        <w:gridCol w:w="7920"/>
      </w:tblGrid>
      <w:tr>
        <w:tc>
          <w:tcPr/>
          <w:bookmarkStart w:id="224" w:name="appfig-triSti"/>
          <w:p>
            <w:pPr>
              <w:pStyle w:val="Compact"/>
              <w:jc w:val="center"/>
            </w:pPr>
            <w:r>
              <w:drawing>
                <wp:inline>
                  <wp:extent cx="5334000" cy="2442858"/>
                  <wp:effectExtent b="0" l="0" r="0" t="0"/>
                  <wp:docPr descr="" title="" id="222" name="Picture"/>
                  <a:graphic>
                    <a:graphicData uri="http://schemas.openxmlformats.org/drawingml/2006/picture">
                      <pic:pic>
                        <pic:nvPicPr>
                          <pic:cNvPr descr="images/Collinearity/tri-sti.png" id="223" name="Picture"/>
                          <pic:cNvPicPr>
                            <a:picLocks noChangeArrowheads="1" noChangeAspect="1"/>
                          </pic:cNvPicPr>
                        </pic:nvPicPr>
                        <pic:blipFill>
                          <a:blip r:embed="rId218"/>
                          <a:stretch>
                            <a:fillRect/>
                          </a:stretch>
                        </pic:blipFill>
                        <pic:spPr bwMode="auto">
                          <a:xfrm>
                            <a:off x="0" y="0"/>
                            <a:ext cx="5334000" cy="2442858"/>
                          </a:xfrm>
                          <a:prstGeom prst="rect">
                            <a:avLst/>
                          </a:prstGeom>
                          <a:noFill/>
                          <a:ln w="9525">
                            <a:noFill/>
                            <a:headEnd/>
                            <a:tailEnd/>
                          </a:ln>
                        </pic:spPr>
                      </pic:pic>
                    </a:graphicData>
                  </a:graphic>
                </wp:inline>
              </w:drawing>
            </w:r>
          </w:p>
          <w:p>
            <w:pPr>
              <w:jc w:val="center"/>
            </w:pPr>
            <w:pPr>
              <w:jc w:val="start"/>
              <w:spacing w:before="200"/>
              <w:pStyle w:val="ImageCaption"/>
            </w:pPr>
            <w:r>
              <w:t xml:space="preserve">A36: Linear regression analysis of topographic roughness index (TRI) and sediment transport index (STI) for 5,000 randomly sampled points across the full study area, encompassing Arizona.</w:t>
            </w:r>
          </w:p>
          <w:bookmarkEnd w:id="224"/>
        </w:tc>
      </w:tr>
    </w:tbl>
    <w:bookmarkEnd w:id="22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82" Target="media/rId182.png" /><Relationship Type="http://schemas.openxmlformats.org/officeDocument/2006/relationships/image" Id="rId178" Target="media/rId178.png" /><Relationship Type="http://schemas.openxmlformats.org/officeDocument/2006/relationships/image" Id="rId174" Target="media/rId174.png" /><Relationship Type="http://schemas.openxmlformats.org/officeDocument/2006/relationships/image" Id="rId186" Target="media/rId186.png" /><Relationship Type="http://schemas.openxmlformats.org/officeDocument/2006/relationships/image" Id="rId198" Target="media/rId198.png" /><Relationship Type="http://schemas.openxmlformats.org/officeDocument/2006/relationships/image" Id="rId194" Target="media/rId194.png" /><Relationship Type="http://schemas.openxmlformats.org/officeDocument/2006/relationships/image" Id="rId190" Target="media/rId190.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26" Target="media/rId126.png" /><Relationship Type="http://schemas.openxmlformats.org/officeDocument/2006/relationships/image" Id="rId138" Target="media/rId138.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8" Target="media/rId98.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02" Target="media/rId102.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154" Target="media/rId154.png" /><Relationship Type="http://schemas.openxmlformats.org/officeDocument/2006/relationships/image" Id="rId210" Target="media/rId210.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218" Target="media/rId218.png" /><Relationship Type="http://schemas.openxmlformats.org/officeDocument/2006/relationships/image" Id="rId214" Target="media/rId214.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20" Target="media/rId20.png" /><Relationship Type="http://schemas.openxmlformats.org/officeDocument/2006/relationships/image" Id="rId50" Target="media/rId50.png" /><Relationship Type="http://schemas.openxmlformats.org/officeDocument/2006/relationships/hyperlink" Id="rId24" Target="https://arizona.box.com/s/0pn7q3411aatq7mwohlk1t3a3a0edly2" TargetMode="External" /><Relationship Type="http://schemas.openxmlformats.org/officeDocument/2006/relationships/hyperlink" Id="rId69" Target="https://code.earthengine.google.com/4a9b1dba779c649e0b79578d595d2ff5" TargetMode="External" /><Relationship Type="http://schemas.openxmlformats.org/officeDocument/2006/relationships/hyperlink" Id="rId81" Target="https://code.earthengine.google.com/5d33d4d4b06092127e3e3c5233878ef3" TargetMode="External" /><Relationship Type="http://schemas.openxmlformats.org/officeDocument/2006/relationships/hyperlink" Id="rId75" Target="https://docs.google.com/document/d/1UCB900oCdJERca-2WUeDlCu52MjPKJxETJ_jJcLM0bM/edit?tab=t.0" TargetMode="External" /><Relationship Type="http://schemas.openxmlformats.org/officeDocument/2006/relationships/hyperlink" Id="rId77" Target="https://doi.org/10.1016/j.catena.2018.12.011" TargetMode="External" /><Relationship Type="http://schemas.openxmlformats.org/officeDocument/2006/relationships/hyperlink" Id="rId71" Target="https://doi.org/10.1016/j.gsd.2024.101137" TargetMode="External" /><Relationship Type="http://schemas.openxmlformats.org/officeDocument/2006/relationships/hyperlink" Id="rId73" Target="https://doi.org/10.1016/j.jhydrol.2021.126846" TargetMode="External" /><Relationship Type="http://schemas.openxmlformats.org/officeDocument/2006/relationships/hyperlink" Id="rId31" Target="https://github.com/travisz09/TopographicRoughnessIndex" TargetMode="External" /><Relationship Type="http://schemas.openxmlformats.org/officeDocument/2006/relationships/hyperlink" Id="rId33" Target="https://hazards-fema.maps.arcgis.com/apps/webappviewer/index.html?id=8b0adb51996444d4879338b5529aa9cd" TargetMode="External" /><Relationship Type="http://schemas.openxmlformats.org/officeDocument/2006/relationships/hyperlink" Id="rId23" Target="https://travisz09.github.io/SanPedro_Flood-MAR/" TargetMode="External" /><Relationship Type="http://schemas.openxmlformats.org/officeDocument/2006/relationships/hyperlink" Id="rId66" Target="https://uagis.maps.arcgis.com/home/group.html?id=f76541c22acb40e8948d9d246b8611c5#overview" TargetMode="External" /></Relationships>
</file>

<file path=word/_rels/footnotes.xml.rels><?xml version="1.0" encoding="UTF-8"?><Relationships xmlns="http://schemas.openxmlformats.org/package/2006/relationships"><Relationship Type="http://schemas.openxmlformats.org/officeDocument/2006/relationships/hyperlink" Id="rId24" Target="https://arizona.box.com/s/0pn7q3411aatq7mwohlk1t3a3a0edly2" TargetMode="External" /><Relationship Type="http://schemas.openxmlformats.org/officeDocument/2006/relationships/hyperlink" Id="rId69" Target="https://code.earthengine.google.com/4a9b1dba779c649e0b79578d595d2ff5" TargetMode="External" /><Relationship Type="http://schemas.openxmlformats.org/officeDocument/2006/relationships/hyperlink" Id="rId81" Target="https://code.earthengine.google.com/5d33d4d4b06092127e3e3c5233878ef3" TargetMode="External" /><Relationship Type="http://schemas.openxmlformats.org/officeDocument/2006/relationships/hyperlink" Id="rId75" Target="https://docs.google.com/document/d/1UCB900oCdJERca-2WUeDlCu52MjPKJxETJ_jJcLM0bM/edit?tab=t.0" TargetMode="External" /><Relationship Type="http://schemas.openxmlformats.org/officeDocument/2006/relationships/hyperlink" Id="rId77" Target="https://doi.org/10.1016/j.catena.2018.12.011" TargetMode="External" /><Relationship Type="http://schemas.openxmlformats.org/officeDocument/2006/relationships/hyperlink" Id="rId71" Target="https://doi.org/10.1016/j.gsd.2024.101137" TargetMode="External" /><Relationship Type="http://schemas.openxmlformats.org/officeDocument/2006/relationships/hyperlink" Id="rId73" Target="https://doi.org/10.1016/j.jhydrol.2021.126846" TargetMode="External" /><Relationship Type="http://schemas.openxmlformats.org/officeDocument/2006/relationships/hyperlink" Id="rId31" Target="https://github.com/travisz09/TopographicRoughnessIndex" TargetMode="External" /><Relationship Type="http://schemas.openxmlformats.org/officeDocument/2006/relationships/hyperlink" Id="rId33" Target="https://hazards-fema.maps.arcgis.com/apps/webappviewer/index.html?id=8b0adb51996444d4879338b5529aa9cd" TargetMode="External" /><Relationship Type="http://schemas.openxmlformats.org/officeDocument/2006/relationships/hyperlink" Id="rId23" Target="https://travisz09.github.io/SanPedro_Flood-MAR/" TargetMode="External" /><Relationship Type="http://schemas.openxmlformats.org/officeDocument/2006/relationships/hyperlink" Id="rId66" Target="https://uagis.maps.arcgis.com/home/group.html?id=f76541c22acb40e8948d9d246b8611c5#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Arizona Random Forest Flood Mapping</dc:title>
  <dc:creator>Travis Zalesky</dc:creator>
  <cp:keywords>Arizona, Flood, Federal Emergency Management Administration, Random Forest, Machine Learning</cp:keywords>
  <dcterms:created xsi:type="dcterms:W3CDTF">2025-04-03T20:32:07Z</dcterms:created>
  <dcterms:modified xsi:type="dcterms:W3CDTF">2025-04-03T20:32:07Z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Federal Emergency Management Administration 100-year flood risk maps are expanded across the state of Arizona using a random forest, machine learning classification utilizing eight topographic explanatory variables.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crossref">
    <vt:lpwstr/>
  </property>
  <property fmtid="{D5CDD505-2E9C-101B-9397-08002B2CF9AE}" pid="11" name="csl">
    <vt:lpwstr>apa.csl</vt:lpwstr>
  </property>
  <property fmtid="{D5CDD505-2E9C-101B-9397-08002B2CF9AE}" pid="12" name="date">
    <vt:lpwstr>2025-04-03</vt:lpwstr>
  </property>
  <property fmtid="{D5CDD505-2E9C-101B-9397-08002B2CF9AE}" pid="13" name="google-scholar">
    <vt:lpwstr>True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jupyter">
    <vt:lpwstr>python3</vt:lpwstr>
  </property>
  <property fmtid="{D5CDD505-2E9C-101B-9397-08002B2CF9AE}" pid="18" name="key-points">
    <vt:lpwstr/>
  </property>
  <property fmtid="{D5CDD505-2E9C-101B-9397-08002B2CF9AE}" pid="19" name="labels">
    <vt:lpwstr/>
  </property>
  <property fmtid="{D5CDD505-2E9C-101B-9397-08002B2CF9AE}" pid="20" name="lightbox">
    <vt:lpwstr>auto</vt:lpwstr>
  </property>
  <property fmtid="{D5CDD505-2E9C-101B-9397-08002B2CF9AE}" pid="21" name="manuscript">
    <vt:lpwstr/>
  </property>
  <property fmtid="{D5CDD505-2E9C-101B-9397-08002B2CF9AE}" pid="22" name="notebook-preview-options">
    <vt:lpwstr/>
  </property>
  <property fmtid="{D5CDD505-2E9C-101B-9397-08002B2CF9AE}" pid="23" name="plain-language-summary">
    <vt:lpwstr>Flood mapping across Arizona.</vt:lpwstr>
  </property>
  <property fmtid="{D5CDD505-2E9C-101B-9397-08002B2CF9AE}" pid="24" name="quarto-internal">
    <vt:lpwstr/>
  </property>
  <property fmtid="{D5CDD505-2E9C-101B-9397-08002B2CF9AE}" pid="25" name="remove-hidden">
    <vt:lpwstr>all</vt:lpwstr>
  </property>
  <property fmtid="{D5CDD505-2E9C-101B-9397-08002B2CF9AE}" pid="26" name="template-partials">
    <vt:lpwstr/>
  </property>
  <property fmtid="{D5CDD505-2E9C-101B-9397-08002B2CF9AE}" pid="27" name="theme">
    <vt:lpwstr>cosmo</vt:lpwstr>
  </property>
  <property fmtid="{D5CDD505-2E9C-101B-9397-08002B2CF9AE}" pid="28" name="title-block-style">
    <vt:lpwstr>manuscript</vt:lpwstr>
  </property>
  <property fmtid="{D5CDD505-2E9C-101B-9397-08002B2CF9AE}" pid="29" name="toc-title">
    <vt:lpwstr>Table of contents</vt:lpwstr>
  </property>
  <property fmtid="{D5CDD505-2E9C-101B-9397-08002B2CF9AE}" pid="30" name="unroll-markdown-cells">
    <vt:lpwstr>True</vt:lpwstr>
  </property>
</Properties>
</file>